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44F21" w14:textId="77777777" w:rsidR="00CA61D9" w:rsidRPr="00384D5E" w:rsidRDefault="00CA61D9" w:rsidP="00CA61D9">
      <w:pPr>
        <w:jc w:val="center"/>
        <w:rPr>
          <w:b/>
          <w:bCs/>
          <w:sz w:val="28"/>
          <w:szCs w:val="28"/>
          <w:rtl/>
        </w:rPr>
      </w:pPr>
      <w:r w:rsidRPr="00384D5E">
        <w:rPr>
          <w:rFonts w:hint="cs"/>
          <w:b/>
          <w:bCs/>
          <w:sz w:val="28"/>
          <w:szCs w:val="28"/>
          <w:rtl/>
        </w:rPr>
        <w:t>בית הדין לערעורים בענייני משמעת</w:t>
      </w:r>
    </w:p>
    <w:p w14:paraId="32ACA0B2" w14:textId="77777777" w:rsidR="00CA61D9" w:rsidRDefault="00CA61D9" w:rsidP="00CA61D9">
      <w:pPr>
        <w:jc w:val="center"/>
        <w:rPr>
          <w:b/>
          <w:bCs/>
          <w:sz w:val="28"/>
          <w:szCs w:val="28"/>
          <w:rtl/>
        </w:rPr>
      </w:pPr>
      <w:r w:rsidRPr="00384D5E">
        <w:rPr>
          <w:rFonts w:hint="cs"/>
          <w:b/>
          <w:bCs/>
          <w:sz w:val="28"/>
          <w:szCs w:val="28"/>
          <w:rtl/>
        </w:rPr>
        <w:t>של המכללה האקדמית של תל-אביב יפו</w:t>
      </w:r>
    </w:p>
    <w:p w14:paraId="239DA24F" w14:textId="77777777" w:rsidR="00CA61D9" w:rsidRDefault="00CA61D9" w:rsidP="00CA61D9">
      <w:pPr>
        <w:jc w:val="right"/>
        <w:rPr>
          <w:rtl/>
        </w:rPr>
      </w:pPr>
    </w:p>
    <w:p w14:paraId="71687BC6" w14:textId="77777777" w:rsidR="00CA61D9" w:rsidRDefault="00CA61D9" w:rsidP="00CA61D9">
      <w:pPr>
        <w:jc w:val="right"/>
        <w:rPr>
          <w:rtl/>
        </w:rPr>
      </w:pPr>
      <w:r>
        <w:rPr>
          <w:rFonts w:hint="cs"/>
          <w:rtl/>
        </w:rPr>
        <w:t>29 ביוני 2026</w:t>
      </w:r>
    </w:p>
    <w:p w14:paraId="50615B48" w14:textId="77777777" w:rsidR="00CA61D9" w:rsidRDefault="00CA61D9" w:rsidP="00CA61D9">
      <w:pPr>
        <w:jc w:val="right"/>
        <w:rPr>
          <w:rtl/>
        </w:rPr>
      </w:pPr>
      <w:r>
        <w:rPr>
          <w:rFonts w:hint="cs"/>
          <w:rtl/>
        </w:rPr>
        <w:t xml:space="preserve">יד' </w:t>
      </w:r>
      <w:r w:rsidRPr="00A25988">
        <w:rPr>
          <w:rFonts w:hint="cs"/>
          <w:rtl/>
        </w:rPr>
        <w:t>ב</w:t>
      </w:r>
      <w:r>
        <w:rPr>
          <w:rFonts w:hint="cs"/>
          <w:rtl/>
        </w:rPr>
        <w:t xml:space="preserve">תמוז </w:t>
      </w:r>
      <w:proofErr w:type="spellStart"/>
      <w:r w:rsidRPr="00A25988">
        <w:rPr>
          <w:rFonts w:hint="cs"/>
          <w:rtl/>
        </w:rPr>
        <w:t>התשפ"ו</w:t>
      </w:r>
      <w:proofErr w:type="spellEnd"/>
      <w:r>
        <w:rPr>
          <w:rFonts w:hint="cs"/>
          <w:rtl/>
        </w:rPr>
        <w:t xml:space="preserve"> </w:t>
      </w:r>
    </w:p>
    <w:p w14:paraId="41F7B8D7" w14:textId="77777777" w:rsidR="00CA61D9" w:rsidRDefault="00CA61D9" w:rsidP="00CA61D9">
      <w:pPr>
        <w:rPr>
          <w:rtl/>
        </w:rPr>
      </w:pPr>
    </w:p>
    <w:p w14:paraId="577AE838" w14:textId="77777777" w:rsidR="00CA61D9" w:rsidRDefault="00CA61D9" w:rsidP="00CA61D9">
      <w:pPr>
        <w:rPr>
          <w:rtl/>
        </w:rPr>
      </w:pPr>
      <w:r>
        <w:rPr>
          <w:rFonts w:hint="cs"/>
          <w:rtl/>
        </w:rPr>
        <w:t xml:space="preserve">לפני: </w:t>
      </w:r>
      <w:r>
        <w:rPr>
          <w:rtl/>
        </w:rPr>
        <w:tab/>
      </w:r>
      <w:r>
        <w:rPr>
          <w:rtl/>
        </w:rPr>
        <w:tab/>
      </w:r>
      <w:r>
        <w:rPr>
          <w:rtl/>
        </w:rPr>
        <w:tab/>
      </w:r>
      <w:r>
        <w:rPr>
          <w:rtl/>
        </w:rPr>
        <w:tab/>
      </w:r>
      <w:r>
        <w:rPr>
          <w:rFonts w:hint="cs"/>
          <w:rtl/>
        </w:rPr>
        <w:t xml:space="preserve">כבוד השופט הנשיא עו"ד מיכאל </w:t>
      </w:r>
      <w:proofErr w:type="spellStart"/>
      <w:r>
        <w:rPr>
          <w:rFonts w:hint="cs"/>
          <w:rtl/>
        </w:rPr>
        <w:t>גינסבורג</w:t>
      </w:r>
      <w:proofErr w:type="spellEnd"/>
    </w:p>
    <w:p w14:paraId="212B9D90" w14:textId="77777777" w:rsidR="00CA61D9" w:rsidRDefault="00CA61D9" w:rsidP="00CA61D9">
      <w:pPr>
        <w:ind w:left="2160" w:firstLine="720"/>
        <w:rPr>
          <w:rtl/>
        </w:rPr>
      </w:pPr>
      <w:r>
        <w:rPr>
          <w:rtl/>
        </w:rPr>
        <w:t>כבוד השופט</w:t>
      </w:r>
      <w:r>
        <w:rPr>
          <w:rFonts w:hint="cs"/>
          <w:rtl/>
        </w:rPr>
        <w:t xml:space="preserve">ת ד"ר </w:t>
      </w:r>
      <w:proofErr w:type="spellStart"/>
      <w:r>
        <w:rPr>
          <w:rFonts w:hint="cs"/>
          <w:rtl/>
        </w:rPr>
        <w:t>רומינה</w:t>
      </w:r>
      <w:proofErr w:type="spellEnd"/>
      <w:r>
        <w:rPr>
          <w:rFonts w:hint="cs"/>
          <w:rtl/>
        </w:rPr>
        <w:t xml:space="preserve"> </w:t>
      </w:r>
      <w:proofErr w:type="spellStart"/>
      <w:r>
        <w:rPr>
          <w:rFonts w:hint="cs"/>
          <w:rtl/>
        </w:rPr>
        <w:t>זיגדון</w:t>
      </w:r>
      <w:proofErr w:type="spellEnd"/>
      <w:r>
        <w:rPr>
          <w:rFonts w:hint="cs"/>
          <w:rtl/>
        </w:rPr>
        <w:t xml:space="preserve"> </w:t>
      </w:r>
    </w:p>
    <w:p w14:paraId="21486266" w14:textId="77777777" w:rsidR="00CA61D9" w:rsidRDefault="00CA61D9" w:rsidP="00CA61D9">
      <w:pPr>
        <w:ind w:left="2160" w:firstLine="720"/>
        <w:rPr>
          <w:rtl/>
        </w:rPr>
      </w:pPr>
      <w:r>
        <w:rPr>
          <w:rtl/>
        </w:rPr>
        <w:t>כבוד השופט</w:t>
      </w:r>
      <w:r>
        <w:rPr>
          <w:rFonts w:hint="cs"/>
          <w:rtl/>
        </w:rPr>
        <w:t>ת גב' קארין גביזון</w:t>
      </w:r>
      <w:r w:rsidRPr="00305938">
        <w:rPr>
          <w:rtl/>
        </w:rPr>
        <w:t xml:space="preserve">  </w:t>
      </w:r>
    </w:p>
    <w:p w14:paraId="70F3A8A9" w14:textId="77777777" w:rsidR="00CA61D9" w:rsidRDefault="00CA61D9" w:rsidP="00CA61D9">
      <w:pPr>
        <w:pStyle w:val="Header"/>
        <w:rPr>
          <w:rFonts w:cs="FrankRuehl"/>
          <w:sz w:val="28"/>
          <w:szCs w:val="28"/>
          <w:rtl/>
        </w:rPr>
      </w:pPr>
    </w:p>
    <w:p w14:paraId="4E9A51C8" w14:textId="02287222" w:rsidR="00CA61D9" w:rsidRPr="006132CB" w:rsidRDefault="00CA61D9" w:rsidP="00CA61D9">
      <w:pPr>
        <w:rPr>
          <w:b/>
          <w:bCs/>
        </w:rPr>
      </w:pPr>
      <w:r>
        <w:rPr>
          <w:rFonts w:hint="cs"/>
          <w:rtl/>
        </w:rPr>
        <w:t xml:space="preserve">המערער: </w:t>
      </w:r>
      <w:r>
        <w:rPr>
          <w:rtl/>
        </w:rPr>
        <w:tab/>
      </w:r>
      <w:r>
        <w:rPr>
          <w:rtl/>
        </w:rPr>
        <w:tab/>
      </w:r>
      <w:r>
        <w:rPr>
          <w:rtl/>
        </w:rPr>
        <w:tab/>
      </w:r>
      <w:r>
        <w:rPr>
          <w:rFonts w:hint="cs"/>
          <w:b/>
          <w:bCs/>
          <w:rtl/>
        </w:rPr>
        <w:t>מר</w:t>
      </w:r>
      <w:r w:rsidRPr="001B7E0B">
        <w:rPr>
          <w:rFonts w:hint="cs"/>
          <w:b/>
          <w:bCs/>
          <w:rtl/>
        </w:rPr>
        <w:t xml:space="preserve"> </w:t>
      </w:r>
      <w:r>
        <w:rPr>
          <w:rFonts w:hint="cs"/>
          <w:b/>
          <w:bCs/>
          <w:rtl/>
        </w:rPr>
        <w:t>(-)</w:t>
      </w:r>
    </w:p>
    <w:p w14:paraId="11403F33" w14:textId="77777777" w:rsidR="00CA61D9" w:rsidRDefault="00CA61D9" w:rsidP="00CA61D9">
      <w:pPr>
        <w:jc w:val="center"/>
        <w:rPr>
          <w:rtl/>
        </w:rPr>
      </w:pPr>
    </w:p>
    <w:p w14:paraId="68C53D53" w14:textId="77777777" w:rsidR="00CA61D9" w:rsidRDefault="00CA61D9" w:rsidP="00CA61D9">
      <w:pPr>
        <w:jc w:val="center"/>
        <w:rPr>
          <w:rtl/>
        </w:rPr>
      </w:pPr>
      <w:r>
        <w:rPr>
          <w:rFonts w:hint="cs"/>
          <w:rtl/>
        </w:rPr>
        <w:t>נגד</w:t>
      </w:r>
    </w:p>
    <w:p w14:paraId="71CE8306" w14:textId="77777777" w:rsidR="00CA61D9" w:rsidRDefault="00CA61D9" w:rsidP="00CA61D9">
      <w:pPr>
        <w:jc w:val="center"/>
        <w:rPr>
          <w:rtl/>
        </w:rPr>
      </w:pPr>
    </w:p>
    <w:p w14:paraId="1A857046" w14:textId="77777777" w:rsidR="00CA61D9" w:rsidRDefault="00CA61D9" w:rsidP="00CA61D9">
      <w:pPr>
        <w:rPr>
          <w:b/>
          <w:bCs/>
          <w:rtl/>
        </w:rPr>
      </w:pPr>
      <w:r>
        <w:rPr>
          <w:rFonts w:hint="cs"/>
          <w:rtl/>
        </w:rPr>
        <w:t>המשיבה:</w:t>
      </w:r>
      <w:r>
        <w:rPr>
          <w:rtl/>
        </w:rPr>
        <w:tab/>
      </w:r>
      <w:r>
        <w:rPr>
          <w:rtl/>
        </w:rPr>
        <w:tab/>
      </w:r>
      <w:r>
        <w:rPr>
          <w:rtl/>
        </w:rPr>
        <w:tab/>
      </w:r>
      <w:r w:rsidRPr="00384D5E">
        <w:rPr>
          <w:rFonts w:hint="cs"/>
          <w:b/>
          <w:bCs/>
          <w:rtl/>
        </w:rPr>
        <w:t>המכללה האקדמית תל אביב יפו</w:t>
      </w:r>
    </w:p>
    <w:p w14:paraId="0C30E0E9" w14:textId="77777777" w:rsidR="00CA61D9" w:rsidRPr="0074105D" w:rsidRDefault="00CA61D9" w:rsidP="00CA61D9">
      <w:pPr>
        <w:ind w:left="2160" w:firstLine="720"/>
        <w:rPr>
          <w:rFonts w:ascii="David" w:hAnsi="David"/>
          <w:sz w:val="18"/>
          <w:szCs w:val="18"/>
          <w:rtl/>
        </w:rPr>
      </w:pPr>
      <w:r w:rsidRPr="0074105D">
        <w:rPr>
          <w:rFonts w:ascii="David" w:hAnsi="David"/>
          <w:sz w:val="18"/>
          <w:szCs w:val="18"/>
          <w:rtl/>
        </w:rPr>
        <w:t>ערעור על פסק דינה של סגנית הממונה על המשמעת מיום 3.5.2026.</w:t>
      </w:r>
    </w:p>
    <w:p w14:paraId="4A30F5F4" w14:textId="77777777" w:rsidR="00CA61D9" w:rsidRDefault="00CA61D9" w:rsidP="00CA61D9">
      <w:pPr>
        <w:ind w:left="2160" w:firstLine="720"/>
        <w:rPr>
          <w:rFonts w:ascii="David" w:hAnsi="David"/>
          <w:sz w:val="18"/>
          <w:szCs w:val="18"/>
          <w:rtl/>
        </w:rPr>
      </w:pPr>
    </w:p>
    <w:p w14:paraId="53586B07" w14:textId="77777777" w:rsidR="00CA61D9" w:rsidRPr="00D458F7" w:rsidRDefault="00CA61D9" w:rsidP="00CA61D9">
      <w:pPr>
        <w:ind w:left="2160" w:firstLine="720"/>
        <w:rPr>
          <w:rFonts w:ascii="David" w:hAnsi="David"/>
          <w:sz w:val="18"/>
          <w:szCs w:val="18"/>
        </w:rPr>
      </w:pPr>
    </w:p>
    <w:p w14:paraId="020EE023" w14:textId="77777777" w:rsidR="00CA61D9" w:rsidRDefault="00CA61D9" w:rsidP="00CA61D9">
      <w:pPr>
        <w:ind w:left="2160" w:firstLine="720"/>
        <w:rPr>
          <w:rFonts w:ascii="David" w:hAnsi="David"/>
        </w:rPr>
      </w:pPr>
    </w:p>
    <w:p w14:paraId="0FB9441B" w14:textId="77777777" w:rsidR="00CA61D9" w:rsidRPr="0074105D" w:rsidRDefault="00CA61D9" w:rsidP="00CA61D9">
      <w:pPr>
        <w:rPr>
          <w:rtl/>
        </w:rPr>
      </w:pPr>
      <w:r w:rsidRPr="0074105D">
        <w:rPr>
          <w:rtl/>
        </w:rPr>
        <w:t xml:space="preserve">תאריך הישיבה: </w:t>
      </w:r>
      <w:r w:rsidRPr="0074105D">
        <w:rPr>
          <w:rtl/>
        </w:rPr>
        <w:tab/>
      </w:r>
      <w:r w:rsidRPr="0074105D">
        <w:rPr>
          <w:rtl/>
        </w:rPr>
        <w:tab/>
      </w:r>
      <w:r>
        <w:rPr>
          <w:rFonts w:hint="cs"/>
          <w:rtl/>
        </w:rPr>
        <w:t>ג</w:t>
      </w:r>
      <w:r w:rsidRPr="0074105D">
        <w:rPr>
          <w:rFonts w:hint="cs"/>
          <w:rtl/>
        </w:rPr>
        <w:t xml:space="preserve">' </w:t>
      </w:r>
      <w:r w:rsidRPr="0074105D">
        <w:rPr>
          <w:rtl/>
        </w:rPr>
        <w:t>ב</w:t>
      </w:r>
      <w:r>
        <w:rPr>
          <w:rFonts w:hint="cs"/>
          <w:rtl/>
        </w:rPr>
        <w:t>תמוז</w:t>
      </w:r>
      <w:r w:rsidRPr="0074105D">
        <w:rPr>
          <w:rtl/>
        </w:rPr>
        <w:t xml:space="preserve"> </w:t>
      </w:r>
      <w:proofErr w:type="spellStart"/>
      <w:r w:rsidRPr="0074105D">
        <w:rPr>
          <w:rtl/>
        </w:rPr>
        <w:t>התשפ"</w:t>
      </w:r>
      <w:r w:rsidRPr="0074105D">
        <w:rPr>
          <w:rFonts w:hint="cs"/>
          <w:rtl/>
        </w:rPr>
        <w:t>ו</w:t>
      </w:r>
      <w:proofErr w:type="spellEnd"/>
      <w:r w:rsidRPr="0074105D">
        <w:rPr>
          <w:rtl/>
        </w:rPr>
        <w:t xml:space="preserve"> (</w:t>
      </w:r>
      <w:r>
        <w:rPr>
          <w:rFonts w:hint="cs"/>
          <w:rtl/>
        </w:rPr>
        <w:t>18</w:t>
      </w:r>
      <w:r w:rsidRPr="0074105D">
        <w:rPr>
          <w:rFonts w:hint="cs"/>
          <w:rtl/>
        </w:rPr>
        <w:t>.</w:t>
      </w:r>
      <w:r>
        <w:rPr>
          <w:rFonts w:hint="cs"/>
          <w:rtl/>
        </w:rPr>
        <w:t>6</w:t>
      </w:r>
      <w:r w:rsidRPr="0074105D">
        <w:rPr>
          <w:rFonts w:hint="cs"/>
          <w:rtl/>
        </w:rPr>
        <w:t>.2026</w:t>
      </w:r>
      <w:r w:rsidRPr="0074105D">
        <w:t>(</w:t>
      </w:r>
    </w:p>
    <w:p w14:paraId="51768BCA" w14:textId="77777777" w:rsidR="00CA61D9" w:rsidRDefault="00CA61D9" w:rsidP="00CA61D9">
      <w:pPr>
        <w:ind w:left="2160" w:firstLine="720"/>
        <w:rPr>
          <w:b/>
          <w:bCs/>
          <w:rtl/>
        </w:rPr>
      </w:pPr>
    </w:p>
    <w:p w14:paraId="4BDD95E8" w14:textId="77777777" w:rsidR="00CA61D9" w:rsidRDefault="00CA61D9" w:rsidP="00CA61D9">
      <w:pPr>
        <w:rPr>
          <w:rtl/>
        </w:rPr>
      </w:pPr>
      <w:r w:rsidRPr="003D386A">
        <w:rPr>
          <w:rFonts w:hint="cs"/>
          <w:rtl/>
        </w:rPr>
        <w:t>בשם המערער:</w:t>
      </w:r>
      <w:r w:rsidRPr="003D386A">
        <w:rPr>
          <w:rtl/>
        </w:rPr>
        <w:tab/>
      </w:r>
      <w:r>
        <w:rPr>
          <w:rtl/>
        </w:rPr>
        <w:tab/>
      </w:r>
      <w:r>
        <w:rPr>
          <w:rtl/>
        </w:rPr>
        <w:tab/>
      </w:r>
      <w:r>
        <w:rPr>
          <w:rFonts w:hint="cs"/>
          <w:rtl/>
        </w:rPr>
        <w:t>בעצמו</w:t>
      </w:r>
    </w:p>
    <w:p w14:paraId="0ECCB0BD" w14:textId="63F1FFC8" w:rsidR="00CA61D9" w:rsidRDefault="00CA61D9" w:rsidP="00CA61D9">
      <w:pPr>
        <w:rPr>
          <w:rtl/>
        </w:rPr>
      </w:pPr>
      <w:r>
        <w:rPr>
          <w:rFonts w:hint="cs"/>
          <w:rtl/>
        </w:rPr>
        <w:t xml:space="preserve"> </w:t>
      </w:r>
      <w:r>
        <w:rPr>
          <w:rtl/>
        </w:rPr>
        <w:tab/>
      </w:r>
      <w:r>
        <w:rPr>
          <w:rtl/>
        </w:rPr>
        <w:tab/>
      </w:r>
      <w:r>
        <w:rPr>
          <w:rtl/>
        </w:rPr>
        <w:tab/>
      </w:r>
      <w:r>
        <w:rPr>
          <w:rtl/>
        </w:rPr>
        <w:tab/>
      </w:r>
      <w:r>
        <w:rPr>
          <w:rFonts w:hint="cs"/>
          <w:rtl/>
        </w:rPr>
        <w:t xml:space="preserve">ובאמצעות ב"כ </w:t>
      </w:r>
      <w:r>
        <w:rPr>
          <w:rtl/>
        </w:rPr>
        <w:t xml:space="preserve">עו"ד </w:t>
      </w:r>
      <w:r>
        <w:rPr>
          <w:rFonts w:hint="cs"/>
          <w:rtl/>
        </w:rPr>
        <w:t>(-)</w:t>
      </w:r>
    </w:p>
    <w:p w14:paraId="5DA4F2C3" w14:textId="77777777" w:rsidR="00CA61D9" w:rsidRDefault="00CA61D9" w:rsidP="00CA61D9">
      <w:pPr>
        <w:rPr>
          <w:rtl/>
        </w:rPr>
      </w:pPr>
    </w:p>
    <w:p w14:paraId="1C021435" w14:textId="77777777" w:rsidR="00CA61D9" w:rsidRPr="003D386A" w:rsidRDefault="00CA61D9" w:rsidP="00CA61D9">
      <w:pPr>
        <w:jc w:val="both"/>
        <w:rPr>
          <w:rtl/>
        </w:rPr>
      </w:pPr>
      <w:r>
        <w:rPr>
          <w:rFonts w:hint="cs"/>
          <w:rtl/>
        </w:rPr>
        <w:t xml:space="preserve">בשם המשיבה: </w:t>
      </w:r>
      <w:r>
        <w:rPr>
          <w:rtl/>
        </w:rPr>
        <w:tab/>
      </w:r>
      <w:r>
        <w:rPr>
          <w:rtl/>
        </w:rPr>
        <w:tab/>
      </w:r>
      <w:r>
        <w:rPr>
          <w:rtl/>
        </w:rPr>
        <w:tab/>
      </w:r>
      <w:r w:rsidRPr="00F00558">
        <w:rPr>
          <w:rtl/>
        </w:rPr>
        <w:t>ליאורה ארזי בן-חיים, עו"ד</w:t>
      </w:r>
      <w:r>
        <w:rPr>
          <w:rFonts w:hint="cs"/>
          <w:rtl/>
        </w:rPr>
        <w:t xml:space="preserve"> </w:t>
      </w:r>
    </w:p>
    <w:p w14:paraId="16CE0847" w14:textId="77777777" w:rsidR="00CA61D9" w:rsidRDefault="00CA61D9" w:rsidP="00CA61D9">
      <w:pPr>
        <w:suppressLineNumbers/>
        <w:ind w:left="2160" w:firstLine="720"/>
        <w:jc w:val="both"/>
        <w:rPr>
          <w:rFonts w:ascii="David" w:hAnsi="David"/>
          <w:sz w:val="28"/>
          <w:szCs w:val="28"/>
          <w:rtl/>
        </w:rPr>
      </w:pPr>
    </w:p>
    <w:p w14:paraId="79204928" w14:textId="77777777" w:rsidR="00CA61D9" w:rsidRDefault="00CA61D9" w:rsidP="00CA61D9">
      <w:pPr>
        <w:pStyle w:val="Header"/>
        <w:rPr>
          <w:rFonts w:cs="FrankRuehl"/>
          <w:sz w:val="28"/>
          <w:szCs w:val="28"/>
          <w:rtl/>
        </w:rPr>
      </w:pPr>
    </w:p>
    <w:p w14:paraId="66A37AAA" w14:textId="77777777" w:rsidR="00CA61D9" w:rsidRPr="00CC6C61" w:rsidRDefault="00CA61D9" w:rsidP="00CA61D9">
      <w:pPr>
        <w:jc w:val="center"/>
        <w:rPr>
          <w:rFonts w:ascii="David" w:hAnsi="David"/>
          <w:b/>
          <w:bCs/>
          <w:spacing w:val="30"/>
          <w:sz w:val="32"/>
          <w:szCs w:val="32"/>
          <w:u w:val="single"/>
          <w:rtl/>
        </w:rPr>
      </w:pPr>
      <w:r w:rsidRPr="00CC6C61">
        <w:rPr>
          <w:rFonts w:ascii="David" w:hAnsi="David"/>
          <w:b/>
          <w:bCs/>
          <w:spacing w:val="30"/>
          <w:sz w:val="32"/>
          <w:szCs w:val="32"/>
          <w:u w:val="single"/>
          <w:rtl/>
        </w:rPr>
        <w:t>פסק-דין</w:t>
      </w:r>
    </w:p>
    <w:p w14:paraId="28A5C4C5" w14:textId="77777777" w:rsidR="00CA61D9" w:rsidRDefault="00CA61D9" w:rsidP="00CA61D9">
      <w:pPr>
        <w:pStyle w:val="Header"/>
        <w:rPr>
          <w:rFonts w:cs="FrankRuehl"/>
          <w:sz w:val="28"/>
          <w:szCs w:val="28"/>
          <w:rtl/>
        </w:rPr>
      </w:pPr>
    </w:p>
    <w:p w14:paraId="7A7A7A73" w14:textId="77777777" w:rsidR="00CA61D9" w:rsidRPr="0074105D" w:rsidRDefault="00CA61D9" w:rsidP="00CA61D9">
      <w:pPr>
        <w:pStyle w:val="Ruller4"/>
        <w:rPr>
          <w:rtl/>
        </w:rPr>
      </w:pPr>
      <w:bookmarkStart w:id="0" w:name="NGCSBookmark"/>
      <w:bookmarkEnd w:id="0"/>
      <w:r w:rsidRPr="0074105D">
        <w:rPr>
          <w:rtl/>
        </w:rPr>
        <w:t>לפנינו ערעור על פסק דינה של סגנית הממונה על המשמעת, ד"ר אורלי ברזילי, מיום 3.5.2026, אשר במסגרתו הורשע המערער בעבירות משמעת לפי סעיפים 21.3, 21.4 ו-21.6 לתקנון משמעת - סטודנטים תשנ"ה</w:t>
      </w:r>
      <w:r>
        <w:rPr>
          <w:rFonts w:hint="cs"/>
          <w:rtl/>
        </w:rPr>
        <w:t xml:space="preserve"> </w:t>
      </w:r>
      <w:r>
        <w:rPr>
          <w:rtl/>
        </w:rPr>
        <w:t>(להלן: "</w:t>
      </w:r>
      <w:r w:rsidRPr="00926536">
        <w:rPr>
          <w:b/>
          <w:bCs/>
          <w:rtl/>
        </w:rPr>
        <w:t>התקנון</w:t>
      </w:r>
      <w:r>
        <w:rPr>
          <w:rtl/>
        </w:rPr>
        <w:t>")</w:t>
      </w:r>
      <w:r w:rsidRPr="0074105D">
        <w:rPr>
          <w:rtl/>
        </w:rPr>
        <w:t>, ונגזרו עליו העונשים המפורטים בגזר הדין. הערעור נסב על חומרת העונש בלבד, כאשר המערער מבקש להקל ברכיבי הענישה שהושתו עליו.</w:t>
      </w:r>
    </w:p>
    <w:p w14:paraId="47B89985" w14:textId="77777777" w:rsidR="00CA61D9" w:rsidRPr="0074105D" w:rsidRDefault="00CA61D9" w:rsidP="00CA61D9">
      <w:pPr>
        <w:pStyle w:val="Ruller4"/>
        <w:rPr>
          <w:rtl/>
        </w:rPr>
      </w:pPr>
      <w:r w:rsidRPr="0074105D">
        <w:rPr>
          <w:rtl/>
        </w:rPr>
        <w:t xml:space="preserve">בפתח הדברים </w:t>
      </w:r>
      <w:r>
        <w:rPr>
          <w:rFonts w:hint="cs"/>
          <w:rtl/>
        </w:rPr>
        <w:t>מצאנו לנכון לציין</w:t>
      </w:r>
      <w:r w:rsidRPr="0074105D">
        <w:rPr>
          <w:rtl/>
        </w:rPr>
        <w:t xml:space="preserve"> כי שמיעת הערעור לא התקיימה בסמוך למועד הגשתו בשל אילוצים שלא היו בשליטת מי מהצדדים. עם זאת, מש</w:t>
      </w:r>
      <w:r>
        <w:rPr>
          <w:rFonts w:hint="eastAsia"/>
          <w:rtl/>
        </w:rPr>
        <w:t>הערעור</w:t>
      </w:r>
      <w:r>
        <w:rPr>
          <w:rtl/>
        </w:rPr>
        <w:t xml:space="preserve"> </w:t>
      </w:r>
      <w:r>
        <w:rPr>
          <w:rFonts w:hint="eastAsia"/>
          <w:rtl/>
        </w:rPr>
        <w:t>נשמע</w:t>
      </w:r>
      <w:r>
        <w:rPr>
          <w:rtl/>
        </w:rPr>
        <w:t>,</w:t>
      </w:r>
      <w:r w:rsidRPr="0074105D">
        <w:rPr>
          <w:rtl/>
        </w:rPr>
        <w:t xml:space="preserve"> ניתנה לצדדים, ובפרט לבא כוח המערער, אפשרות מלאה, רחבה וממצה להשמיע את טענותי</w:t>
      </w:r>
      <w:r>
        <w:rPr>
          <w:rFonts w:hint="eastAsia"/>
          <w:rtl/>
        </w:rPr>
        <w:t>הם</w:t>
      </w:r>
      <w:r w:rsidRPr="0074105D">
        <w:rPr>
          <w:rtl/>
        </w:rPr>
        <w:t>, ובית הדין הקפיד ליתן לכל אחד מן הצדדים את מלוא יומו</w:t>
      </w:r>
      <w:r>
        <w:rPr>
          <w:rFonts w:hint="cs"/>
          <w:rtl/>
        </w:rPr>
        <w:t xml:space="preserve"> ואף חרג ממסגרת הזמן שהוקצ</w:t>
      </w:r>
      <w:r>
        <w:rPr>
          <w:rFonts w:hint="eastAsia"/>
          <w:rtl/>
        </w:rPr>
        <w:t>ת</w:t>
      </w:r>
      <w:r>
        <w:rPr>
          <w:rFonts w:hint="cs"/>
          <w:rtl/>
        </w:rPr>
        <w:t>ה לצורך כך</w:t>
      </w:r>
      <w:r w:rsidRPr="0074105D">
        <w:rPr>
          <w:rtl/>
        </w:rPr>
        <w:t>.</w:t>
      </w:r>
    </w:p>
    <w:p w14:paraId="0FE65404" w14:textId="77777777" w:rsidR="00CA61D9" w:rsidRPr="0074105D" w:rsidRDefault="00CA61D9" w:rsidP="00CA61D9">
      <w:pPr>
        <w:pStyle w:val="Ruller41"/>
        <w:rPr>
          <w:rtl/>
        </w:rPr>
      </w:pPr>
    </w:p>
    <w:p w14:paraId="1231E8FC" w14:textId="77777777" w:rsidR="00CA61D9" w:rsidRPr="00CC6C61" w:rsidRDefault="00CA61D9" w:rsidP="00CA61D9">
      <w:pPr>
        <w:pStyle w:val="Ruller41"/>
        <w:keepNext/>
        <w:rPr>
          <w:rFonts w:ascii="Century" w:hAnsi="Century" w:cs="Miriam"/>
          <w:bCs/>
          <w:spacing w:val="0"/>
          <w:szCs w:val="24"/>
          <w:rtl/>
        </w:rPr>
      </w:pPr>
      <w:r w:rsidRPr="00CC6C61">
        <w:rPr>
          <w:rFonts w:ascii="Century" w:hAnsi="Century" w:cs="Miriam"/>
          <w:bCs/>
          <w:spacing w:val="0"/>
          <w:szCs w:val="24"/>
          <w:rtl/>
        </w:rPr>
        <w:t>רקע הדברים</w:t>
      </w:r>
    </w:p>
    <w:p w14:paraId="1FC3C29F" w14:textId="6BBB9438" w:rsidR="00CA61D9" w:rsidRPr="0074105D" w:rsidRDefault="00CA61D9" w:rsidP="00CA61D9">
      <w:pPr>
        <w:pStyle w:val="Ruller4"/>
        <w:rPr>
          <w:rtl/>
        </w:rPr>
      </w:pPr>
      <w:r w:rsidRPr="0074105D">
        <w:rPr>
          <w:rtl/>
        </w:rPr>
        <w:t>המערער הינו תלמיד שנה ב' בת</w:t>
      </w:r>
      <w:r>
        <w:rPr>
          <w:rFonts w:hint="cs"/>
          <w:rtl/>
        </w:rPr>
        <w:t>ו</w:t>
      </w:r>
      <w:r w:rsidRPr="0074105D">
        <w:rPr>
          <w:rtl/>
        </w:rPr>
        <w:t xml:space="preserve">כנית הלימודים </w:t>
      </w:r>
      <w:r>
        <w:rPr>
          <w:rFonts w:hint="cs"/>
          <w:rtl/>
        </w:rPr>
        <w:t>(-)</w:t>
      </w:r>
      <w:r w:rsidRPr="0074105D">
        <w:rPr>
          <w:rtl/>
        </w:rPr>
        <w:t xml:space="preserve"> במכללה האקדמית של תל-אביב-יפו.</w:t>
      </w:r>
    </w:p>
    <w:p w14:paraId="340E14A5" w14:textId="528C91E6" w:rsidR="00CA61D9" w:rsidRPr="0074105D" w:rsidRDefault="00CA61D9" w:rsidP="00CA61D9">
      <w:pPr>
        <w:pStyle w:val="Ruller4"/>
        <w:rPr>
          <w:rtl/>
        </w:rPr>
      </w:pPr>
      <w:r w:rsidRPr="0074105D">
        <w:rPr>
          <w:rtl/>
        </w:rPr>
        <w:lastRenderedPageBreak/>
        <w:t xml:space="preserve">בסמסטר א' תשפ"ו למד המערער את הקורס </w:t>
      </w:r>
      <w:r>
        <w:rPr>
          <w:rFonts w:hint="cs"/>
          <w:rtl/>
        </w:rPr>
        <w:t>(-)</w:t>
      </w:r>
      <w:r w:rsidRPr="0074105D">
        <w:rPr>
          <w:rtl/>
        </w:rPr>
        <w:t xml:space="preserve">, אצל המרצה ד"ר </w:t>
      </w:r>
      <w:r>
        <w:rPr>
          <w:rFonts w:hint="cs"/>
          <w:rtl/>
        </w:rPr>
        <w:t>(-)</w:t>
      </w:r>
      <w:r w:rsidRPr="0074105D">
        <w:rPr>
          <w:rtl/>
        </w:rPr>
        <w:t>, וניגש לבחינת מועד א' פרונטלית ביום 19.2.2026.</w:t>
      </w:r>
    </w:p>
    <w:p w14:paraId="1B3AD157" w14:textId="77777777" w:rsidR="00CA61D9" w:rsidRPr="0074105D" w:rsidRDefault="00CA61D9" w:rsidP="00CA61D9">
      <w:pPr>
        <w:pStyle w:val="Ruller4"/>
        <w:rPr>
          <w:rtl/>
        </w:rPr>
      </w:pPr>
      <w:r w:rsidRPr="0074105D">
        <w:rPr>
          <w:rtl/>
        </w:rPr>
        <w:t>לאחר הבחינה פנתה למדור הבחינות סטודנטית, אשר נבחנה יחד עם המערער, ודיווחה כי במהלך הבחינה ראתה את המערער משתמש בטלפון הנייד שלו במשך דקות ארוכות, תוך הסתרתו מאחורי מסך המחשב, וכי בכל פעם שהתקרב</w:t>
      </w:r>
      <w:r>
        <w:rPr>
          <w:rFonts w:hint="cs"/>
          <w:rtl/>
        </w:rPr>
        <w:t xml:space="preserve"> </w:t>
      </w:r>
      <w:r w:rsidRPr="0074105D">
        <w:rPr>
          <w:rtl/>
        </w:rPr>
        <w:t xml:space="preserve">משגיח הסתיר </w:t>
      </w:r>
      <w:r>
        <w:rPr>
          <w:rFonts w:hint="cs"/>
          <w:rtl/>
        </w:rPr>
        <w:t xml:space="preserve">המערער </w:t>
      </w:r>
      <w:r w:rsidRPr="0074105D">
        <w:rPr>
          <w:rtl/>
        </w:rPr>
        <w:t>את הטלפון.</w:t>
      </w:r>
    </w:p>
    <w:p w14:paraId="3A7DB073" w14:textId="77777777" w:rsidR="00CA61D9" w:rsidRPr="0074105D" w:rsidRDefault="00CA61D9" w:rsidP="00CA61D9">
      <w:pPr>
        <w:pStyle w:val="Ruller4"/>
        <w:rPr>
          <w:rtl/>
        </w:rPr>
      </w:pPr>
      <w:r w:rsidRPr="0074105D">
        <w:rPr>
          <w:rtl/>
        </w:rPr>
        <w:t>דיווח זה נבדק בהמשך גם על ידי קצין הביטחון של המכללה, אשר צפה בהקלטת מצלמת האבטחה ומסר כי אף הוא ראה את המערער משתמש בטלפון הנייד במהלך הבחינה.</w:t>
      </w:r>
    </w:p>
    <w:p w14:paraId="02E70E50" w14:textId="77777777" w:rsidR="00CA61D9" w:rsidRPr="0074105D" w:rsidRDefault="00CA61D9" w:rsidP="00CA61D9">
      <w:pPr>
        <w:pStyle w:val="Ruller4"/>
        <w:rPr>
          <w:rtl/>
        </w:rPr>
      </w:pPr>
      <w:r w:rsidRPr="0074105D">
        <w:rPr>
          <w:rtl/>
        </w:rPr>
        <w:t>בעקבות אירועים אלה הוגשה נגד המערער קובלנה, במסגרתה יוחסו לו עבירות של העתקה בבחינה לפי סעיף 21.3 לתקנון, הונאה בבחינה לפי סעיף 21.4 לתקנון, והפרת הוראה המתייחסת לבחינה, לרבות הוראה בדבר התנהגות במהלך בחינה, לפי סעיף 21.6 לתקנון.</w:t>
      </w:r>
    </w:p>
    <w:p w14:paraId="751CC111" w14:textId="77777777" w:rsidR="00CA61D9" w:rsidRDefault="00CA61D9" w:rsidP="00CA61D9">
      <w:pPr>
        <w:pStyle w:val="Ruller4"/>
        <w:numPr>
          <w:ilvl w:val="0"/>
          <w:numId w:val="0"/>
        </w:numPr>
        <w:rPr>
          <w:rFonts w:ascii="Century" w:hAnsi="Century" w:cs="Miriam"/>
          <w:bCs/>
          <w:spacing w:val="0"/>
          <w:sz w:val="22"/>
          <w:szCs w:val="24"/>
          <w:rtl/>
        </w:rPr>
      </w:pPr>
    </w:p>
    <w:p w14:paraId="6B27973F" w14:textId="77777777" w:rsidR="00CA61D9" w:rsidRPr="00CC6C61" w:rsidRDefault="00CA61D9" w:rsidP="00CA61D9">
      <w:pPr>
        <w:pStyle w:val="Ruller4"/>
        <w:numPr>
          <w:ilvl w:val="0"/>
          <w:numId w:val="0"/>
        </w:numPr>
        <w:rPr>
          <w:rFonts w:ascii="Century" w:hAnsi="Century" w:cs="Miriam"/>
          <w:bCs/>
          <w:spacing w:val="0"/>
          <w:sz w:val="22"/>
          <w:szCs w:val="24"/>
          <w:rtl/>
        </w:rPr>
      </w:pPr>
      <w:r w:rsidRPr="00CC6C61">
        <w:rPr>
          <w:rFonts w:ascii="Century" w:hAnsi="Century" w:cs="Miriam"/>
          <w:bCs/>
          <w:spacing w:val="0"/>
          <w:sz w:val="22"/>
          <w:szCs w:val="24"/>
          <w:rtl/>
        </w:rPr>
        <w:t>פסק דינ</w:t>
      </w:r>
      <w:r>
        <w:rPr>
          <w:rFonts w:ascii="Century" w:hAnsi="Century" w:cs="Miriam" w:hint="cs"/>
          <w:bCs/>
          <w:spacing w:val="0"/>
          <w:sz w:val="22"/>
          <w:szCs w:val="24"/>
          <w:rtl/>
        </w:rPr>
        <w:t>ה</w:t>
      </w:r>
      <w:r w:rsidRPr="00CC6C61">
        <w:rPr>
          <w:rFonts w:ascii="Century" w:hAnsi="Century" w:cs="Miriam"/>
          <w:bCs/>
          <w:spacing w:val="0"/>
          <w:sz w:val="22"/>
          <w:szCs w:val="24"/>
          <w:rtl/>
        </w:rPr>
        <w:t xml:space="preserve"> של </w:t>
      </w:r>
      <w:r>
        <w:rPr>
          <w:rFonts w:ascii="Century" w:hAnsi="Century" w:cs="Miriam" w:hint="cs"/>
          <w:bCs/>
          <w:spacing w:val="0"/>
          <w:sz w:val="22"/>
          <w:szCs w:val="24"/>
          <w:rtl/>
        </w:rPr>
        <w:t xml:space="preserve">סגנית </w:t>
      </w:r>
      <w:r w:rsidRPr="00CC6C61">
        <w:rPr>
          <w:rFonts w:ascii="Century" w:hAnsi="Century" w:cs="Miriam" w:hint="cs"/>
          <w:bCs/>
          <w:spacing w:val="0"/>
          <w:sz w:val="22"/>
          <w:szCs w:val="24"/>
          <w:rtl/>
        </w:rPr>
        <w:t>המומנה על המשמעת</w:t>
      </w:r>
    </w:p>
    <w:p w14:paraId="68E23635" w14:textId="77777777" w:rsidR="00CA61D9" w:rsidRDefault="00CA61D9" w:rsidP="00CA61D9">
      <w:pPr>
        <w:pStyle w:val="Ruller4"/>
      </w:pPr>
      <w:r w:rsidRPr="00F46E04">
        <w:rPr>
          <w:rtl/>
        </w:rPr>
        <w:t>במהלך הדיון בפני סגנית הממונה על המשמעת</w:t>
      </w:r>
      <w:r>
        <w:rPr>
          <w:rtl/>
        </w:rPr>
        <w:t>,</w:t>
      </w:r>
      <w:r w:rsidRPr="00F46E04">
        <w:rPr>
          <w:rtl/>
        </w:rPr>
        <w:t xml:space="preserve"> כפר המערער בעובדות ובאשמה, וטען כי לא היה ברשותו טלפון נייד במהלך הבחינה. </w:t>
      </w:r>
      <w:r>
        <w:rPr>
          <w:rFonts w:hint="cs"/>
          <w:rtl/>
        </w:rPr>
        <w:t>אנו עומדים על עובדה זו</w:t>
      </w:r>
      <w:r>
        <w:rPr>
          <w:rtl/>
        </w:rPr>
        <w:t>,</w:t>
      </w:r>
      <w:r>
        <w:rPr>
          <w:rFonts w:hint="cs"/>
          <w:rtl/>
        </w:rPr>
        <w:t xml:space="preserve"> שכן יש לה חשיבות להמשך הדיון בערעור. </w:t>
      </w:r>
      <w:r w:rsidRPr="00F46E04">
        <w:rPr>
          <w:rtl/>
        </w:rPr>
        <w:t xml:space="preserve">עוד טען כי הסטודנטית המתלוננת </w:t>
      </w:r>
      <w:r>
        <w:rPr>
          <w:rFonts w:hint="eastAsia"/>
          <w:rtl/>
        </w:rPr>
        <w:t>מסר</w:t>
      </w:r>
      <w:r w:rsidRPr="00F46E04">
        <w:rPr>
          <w:rtl/>
        </w:rPr>
        <w:t>ה דיווח שקרי כדי להתנקם בו, משום שלא הסכים להצטרף לקבוצת העבודה שלה.</w:t>
      </w:r>
      <w:r>
        <w:rPr>
          <w:rFonts w:hint="cs"/>
          <w:rtl/>
        </w:rPr>
        <w:t xml:space="preserve"> גם לסוגיה זו יש מקום לא מבוטל בטיעונים </w:t>
      </w:r>
      <w:r>
        <w:rPr>
          <w:rFonts w:hint="eastAsia"/>
          <w:rtl/>
        </w:rPr>
        <w:t>ה</w:t>
      </w:r>
      <w:r>
        <w:rPr>
          <w:rFonts w:hint="cs"/>
          <w:rtl/>
        </w:rPr>
        <w:t>עומדים בבסיס הערעור וה</w:t>
      </w:r>
      <w:r>
        <w:rPr>
          <w:rFonts w:hint="eastAsia"/>
          <w:rtl/>
        </w:rPr>
        <w:t>הכרעה</w:t>
      </w:r>
      <w:r>
        <w:rPr>
          <w:rtl/>
        </w:rPr>
        <w:t xml:space="preserve"> </w:t>
      </w:r>
      <w:r>
        <w:rPr>
          <w:rFonts w:hint="eastAsia"/>
          <w:rtl/>
        </w:rPr>
        <w:t>ב</w:t>
      </w:r>
      <w:r>
        <w:rPr>
          <w:rFonts w:hint="cs"/>
          <w:rtl/>
        </w:rPr>
        <w:t>ו.</w:t>
      </w:r>
    </w:p>
    <w:p w14:paraId="494685DD" w14:textId="77777777" w:rsidR="00CA61D9" w:rsidRDefault="00CA61D9" w:rsidP="00CA61D9">
      <w:pPr>
        <w:pStyle w:val="Ruller4"/>
      </w:pPr>
      <w:r w:rsidRPr="00F46E04">
        <w:rPr>
          <w:rtl/>
        </w:rPr>
        <w:t>מנגד, העידה המתלוננת כי היא בטוחה לחלוטין במה שראתה, דהיינו שימוש ממושך בטלפון הנייד תוך הסתרתו. היא הדגישה כי אינה מכירה את המערער אישית וכי מניעיה נ</w:t>
      </w:r>
      <w:r>
        <w:rPr>
          <w:rFonts w:hint="eastAsia"/>
          <w:rtl/>
        </w:rPr>
        <w:t>ובעים</w:t>
      </w:r>
      <w:r>
        <w:rPr>
          <w:rtl/>
        </w:rPr>
        <w:t xml:space="preserve"> </w:t>
      </w:r>
      <w:r>
        <w:rPr>
          <w:rFonts w:hint="eastAsia"/>
          <w:rtl/>
        </w:rPr>
        <w:t>מהגינות</w:t>
      </w:r>
      <w:r>
        <w:rPr>
          <w:rtl/>
        </w:rPr>
        <w:t xml:space="preserve"> </w:t>
      </w:r>
      <w:r>
        <w:rPr>
          <w:rFonts w:hint="eastAsia"/>
          <w:rtl/>
        </w:rPr>
        <w:t>ומ</w:t>
      </w:r>
      <w:r w:rsidRPr="00F46E04">
        <w:rPr>
          <w:rtl/>
        </w:rPr>
        <w:t>אתיקה בסיסית בלבד. בנוסף</w:t>
      </w:r>
      <w:r>
        <w:rPr>
          <w:rtl/>
        </w:rPr>
        <w:t>,</w:t>
      </w:r>
      <w:r w:rsidRPr="00F46E04">
        <w:rPr>
          <w:rtl/>
        </w:rPr>
        <w:t xml:space="preserve"> העיד קצין הביטחון של המכללה כי עיין בסרטוני האבטחה ואישר את הדיווח</w:t>
      </w:r>
      <w:r>
        <w:rPr>
          <w:rFonts w:hint="cs"/>
          <w:rtl/>
        </w:rPr>
        <w:t>.</w:t>
      </w:r>
    </w:p>
    <w:p w14:paraId="318A5DBB" w14:textId="77777777" w:rsidR="00CA61D9" w:rsidRDefault="00CA61D9" w:rsidP="00CA61D9">
      <w:pPr>
        <w:pStyle w:val="Ruller4"/>
      </w:pPr>
      <w:r w:rsidRPr="00F46E04">
        <w:rPr>
          <w:rtl/>
        </w:rPr>
        <w:t>על יסוד העדויות והראיות ש</w:t>
      </w:r>
      <w:r>
        <w:rPr>
          <w:rFonts w:hint="eastAsia"/>
          <w:rtl/>
        </w:rPr>
        <w:t>הו</w:t>
      </w:r>
      <w:r w:rsidRPr="00F46E04">
        <w:rPr>
          <w:rtl/>
        </w:rPr>
        <w:t>באו בפניה, הרשיעה סגנית הממונה את המערער בעבירות שיוחסו לו. בגזר הדין עמדה על חומרת מעשה ההונאה בבחינה, על כך שמדובר בסטודנט בעל תואר ראשון, על סירובו של המערער להודות במעשיו חרף הראיות החד</w:t>
      </w:r>
      <w:r>
        <w:rPr>
          <w:rtl/>
        </w:rPr>
        <w:t>-</w:t>
      </w:r>
      <w:r w:rsidRPr="00F46E04">
        <w:rPr>
          <w:rtl/>
        </w:rPr>
        <w:t>משמעיות, ועל הניסיון ל</w:t>
      </w:r>
      <w:r>
        <w:rPr>
          <w:rFonts w:hint="eastAsia"/>
          <w:rtl/>
        </w:rPr>
        <w:t>הטיל</w:t>
      </w:r>
      <w:r>
        <w:rPr>
          <w:rtl/>
        </w:rPr>
        <w:t xml:space="preserve"> </w:t>
      </w:r>
      <w:r>
        <w:rPr>
          <w:rFonts w:hint="eastAsia"/>
          <w:rtl/>
        </w:rPr>
        <w:t>את</w:t>
      </w:r>
      <w:r>
        <w:rPr>
          <w:rtl/>
        </w:rPr>
        <w:t xml:space="preserve"> </w:t>
      </w:r>
      <w:r>
        <w:rPr>
          <w:rFonts w:hint="eastAsia"/>
          <w:rtl/>
        </w:rPr>
        <w:t>ה</w:t>
      </w:r>
      <w:r w:rsidRPr="00F46E04">
        <w:rPr>
          <w:rtl/>
        </w:rPr>
        <w:t>אשמה על המתלוננת</w:t>
      </w:r>
      <w:r>
        <w:rPr>
          <w:rFonts w:hint="cs"/>
          <w:rtl/>
        </w:rPr>
        <w:t>.</w:t>
      </w:r>
    </w:p>
    <w:p w14:paraId="243A9EBC" w14:textId="77777777" w:rsidR="00CA61D9" w:rsidRPr="00F46E04" w:rsidRDefault="00CA61D9" w:rsidP="00CA61D9">
      <w:pPr>
        <w:pStyle w:val="Ruller4"/>
        <w:rPr>
          <w:rtl/>
        </w:rPr>
      </w:pPr>
      <w:r>
        <w:rPr>
          <w:rFonts w:hint="cs"/>
          <w:rtl/>
        </w:rPr>
        <w:t xml:space="preserve"> </w:t>
      </w:r>
      <w:r w:rsidRPr="00F46E04">
        <w:rPr>
          <w:rtl/>
        </w:rPr>
        <w:t>לבסוף הושתו על המערער העונשים הבאים:</w:t>
      </w:r>
    </w:p>
    <w:p w14:paraId="77E856EE" w14:textId="60B39EB3" w:rsidR="00CA61D9" w:rsidRPr="00F46E04" w:rsidRDefault="00CA61D9" w:rsidP="00CA61D9">
      <w:pPr>
        <w:pStyle w:val="Ruller41"/>
        <w:numPr>
          <w:ilvl w:val="1"/>
          <w:numId w:val="2"/>
        </w:numPr>
        <w:tabs>
          <w:tab w:val="clear" w:pos="792"/>
          <w:tab w:val="left" w:pos="800"/>
        </w:tabs>
        <w:rPr>
          <w:rtl/>
        </w:rPr>
      </w:pPr>
      <w:r w:rsidRPr="00F46E04">
        <w:rPr>
          <w:rtl/>
        </w:rPr>
        <w:t xml:space="preserve">פסילת הקורס </w:t>
      </w:r>
      <w:r>
        <w:rPr>
          <w:rFonts w:hint="cs"/>
          <w:rtl/>
        </w:rPr>
        <w:t>(-)</w:t>
      </w:r>
      <w:r w:rsidRPr="00F46E04">
        <w:rPr>
          <w:rtl/>
        </w:rPr>
        <w:t>, סמסטר א' תשפ"ו;</w:t>
      </w:r>
    </w:p>
    <w:p w14:paraId="275BD0FD" w14:textId="77777777" w:rsidR="00CA61D9" w:rsidRPr="00F46E04" w:rsidRDefault="00CA61D9" w:rsidP="00CA61D9">
      <w:pPr>
        <w:pStyle w:val="Ruller41"/>
        <w:numPr>
          <w:ilvl w:val="1"/>
          <w:numId w:val="2"/>
        </w:numPr>
        <w:tabs>
          <w:tab w:val="clear" w:pos="792"/>
          <w:tab w:val="left" w:pos="800"/>
        </w:tabs>
        <w:rPr>
          <w:rtl/>
        </w:rPr>
      </w:pPr>
      <w:r w:rsidRPr="00F46E04">
        <w:rPr>
          <w:rtl/>
        </w:rPr>
        <w:t>הרחקה לאלתר מן הלימודים במכללה למשך שנה, כך שיוכל לשוב ללימודיו בסמסטר ב' תשפ"ז;</w:t>
      </w:r>
    </w:p>
    <w:p w14:paraId="086D3C60" w14:textId="77777777" w:rsidR="00CA61D9" w:rsidRPr="00F46E04" w:rsidRDefault="00CA61D9" w:rsidP="00CA61D9">
      <w:pPr>
        <w:pStyle w:val="Ruller41"/>
        <w:numPr>
          <w:ilvl w:val="1"/>
          <w:numId w:val="2"/>
        </w:numPr>
        <w:tabs>
          <w:tab w:val="clear" w:pos="792"/>
          <w:tab w:val="left" w:pos="800"/>
        </w:tabs>
        <w:rPr>
          <w:rtl/>
        </w:rPr>
      </w:pPr>
      <w:r w:rsidRPr="00F46E04">
        <w:rPr>
          <w:rtl/>
        </w:rPr>
        <w:t>עונש על תנאי של הרחקה לצמיתות, אם יורשע בעבירת משמעת חוזרת לפי סעיפים 21.3, 21.4 או 21.6 לתקנון, לתקופה של שנתיים.</w:t>
      </w:r>
    </w:p>
    <w:p w14:paraId="61B1E6C5" w14:textId="77777777" w:rsidR="00CA61D9" w:rsidRDefault="00CA61D9" w:rsidP="00CA61D9">
      <w:pPr>
        <w:pStyle w:val="Ruller4"/>
        <w:rPr>
          <w:rtl/>
        </w:rPr>
      </w:pPr>
      <w:r>
        <w:rPr>
          <w:rFonts w:hint="cs"/>
          <w:rtl/>
        </w:rPr>
        <w:lastRenderedPageBreak/>
        <w:t xml:space="preserve"> </w:t>
      </w:r>
      <w:r>
        <w:rPr>
          <w:rtl/>
        </w:rPr>
        <w:tab/>
      </w:r>
      <w:r w:rsidRPr="00F46E04">
        <w:rPr>
          <w:rtl/>
        </w:rPr>
        <w:t>בד בבד עם הגשת הערעור, הגיש המערער גם בקשה לעיכוב ביצוע העונש. הבקשה נדחתה בהחלטת נשיא בית הדין לערעורים מיום 14.5.2026, בין היתר מהטעם ש</w:t>
      </w:r>
      <w:r>
        <w:rPr>
          <w:rFonts w:hint="cs"/>
          <w:rtl/>
        </w:rPr>
        <w:t xml:space="preserve">באותו שלב </w:t>
      </w:r>
      <w:r w:rsidRPr="00F46E04">
        <w:rPr>
          <w:rtl/>
        </w:rPr>
        <w:t xml:space="preserve">לא נמצאה אינדיקציה לסיכוי גבוה להתערבות </w:t>
      </w:r>
      <w:proofErr w:type="spellStart"/>
      <w:r w:rsidRPr="00F46E04">
        <w:rPr>
          <w:rtl/>
        </w:rPr>
        <w:t>ערעורית</w:t>
      </w:r>
      <w:proofErr w:type="spellEnd"/>
      <w:r w:rsidRPr="00F46E04">
        <w:rPr>
          <w:rtl/>
        </w:rPr>
        <w:t>, בשים לב לחומרת עבירות המשמעת ולמאזן הנוחות</w:t>
      </w:r>
      <w:r>
        <w:rPr>
          <w:rFonts w:hint="cs"/>
          <w:rtl/>
        </w:rPr>
        <w:t>.</w:t>
      </w:r>
    </w:p>
    <w:p w14:paraId="00EF00BE" w14:textId="77777777" w:rsidR="00CA61D9" w:rsidRPr="00F43C32" w:rsidRDefault="00CA61D9" w:rsidP="00CA61D9">
      <w:pPr>
        <w:pStyle w:val="Ruller41"/>
        <w:rPr>
          <w:rtl/>
        </w:rPr>
      </w:pPr>
    </w:p>
    <w:p w14:paraId="6BFC1F16" w14:textId="77777777" w:rsidR="00CA61D9" w:rsidRPr="00F43C32" w:rsidRDefault="00CA61D9" w:rsidP="00CA61D9">
      <w:pPr>
        <w:pStyle w:val="Ruller4"/>
        <w:keepNext/>
        <w:numPr>
          <w:ilvl w:val="0"/>
          <w:numId w:val="0"/>
        </w:numPr>
        <w:rPr>
          <w:rFonts w:ascii="Century" w:hAnsi="Century" w:cs="Miriam"/>
          <w:bCs/>
          <w:spacing w:val="0"/>
          <w:szCs w:val="24"/>
        </w:rPr>
      </w:pPr>
      <w:r w:rsidRPr="00F43C32">
        <w:rPr>
          <w:rFonts w:ascii="Century" w:hAnsi="Century" w:cs="Miriam"/>
          <w:bCs/>
          <w:spacing w:val="0"/>
          <w:szCs w:val="24"/>
          <w:rtl/>
        </w:rPr>
        <w:t>טענות הצדדים בערעור</w:t>
      </w:r>
      <w:r w:rsidRPr="00F43C32">
        <w:rPr>
          <w:rFonts w:ascii="Century" w:hAnsi="Century" w:cs="Miriam" w:hint="cs"/>
          <w:bCs/>
          <w:spacing w:val="0"/>
          <w:szCs w:val="24"/>
          <w:rtl/>
        </w:rPr>
        <w:t xml:space="preserve"> ובדיון שהתקיים בעניינו של המערער  </w:t>
      </w:r>
    </w:p>
    <w:p w14:paraId="42417353" w14:textId="77777777" w:rsidR="00CA61D9" w:rsidRDefault="00CA61D9" w:rsidP="00CA61D9">
      <w:pPr>
        <w:pStyle w:val="Ruller4"/>
        <w:rPr>
          <w:rtl/>
        </w:rPr>
      </w:pPr>
      <w:r>
        <w:rPr>
          <w:rtl/>
        </w:rPr>
        <w:t>על פסק דינ</w:t>
      </w:r>
      <w:r>
        <w:rPr>
          <w:rFonts w:hint="cs"/>
          <w:rtl/>
        </w:rPr>
        <w:t>ו</w:t>
      </w:r>
      <w:r>
        <w:rPr>
          <w:rtl/>
        </w:rPr>
        <w:t xml:space="preserve"> של </w:t>
      </w:r>
      <w:r>
        <w:rPr>
          <w:rFonts w:hint="cs"/>
          <w:rtl/>
        </w:rPr>
        <w:t xml:space="preserve">סגן הממונה על המשמעת </w:t>
      </w:r>
      <w:r>
        <w:rPr>
          <w:rtl/>
        </w:rPr>
        <w:t>הגיש המערער</w:t>
      </w:r>
      <w:r>
        <w:rPr>
          <w:rFonts w:hint="cs"/>
          <w:rtl/>
        </w:rPr>
        <w:t xml:space="preserve"> את הערעור, תוך שהוא חוזר על הטיעונים שהועלו במסגרת תגובתו. </w:t>
      </w:r>
      <w:r>
        <w:rPr>
          <w:rtl/>
        </w:rPr>
        <w:t>המערער, באמצעות בא כוחו, הבהיר כי הערעור נסב על חומרת העונש בלבד ולא על עצם ההרשעה.</w:t>
      </w:r>
    </w:p>
    <w:p w14:paraId="63F1FE8F" w14:textId="77777777" w:rsidR="00CA61D9" w:rsidRDefault="00CA61D9" w:rsidP="00CA61D9">
      <w:pPr>
        <w:pStyle w:val="Ruller4"/>
        <w:rPr>
          <w:rtl/>
        </w:rPr>
      </w:pPr>
      <w:r>
        <w:rPr>
          <w:rFonts w:hint="cs"/>
          <w:rtl/>
        </w:rPr>
        <w:t xml:space="preserve"> </w:t>
      </w:r>
      <w:r>
        <w:rPr>
          <w:rtl/>
        </w:rPr>
        <w:tab/>
        <w:t xml:space="preserve">בא כוח המערער הפליא בטיעוניו בפנינו והטעים טעמים מבוססים, סדורים ומושכלים ביחס לנסיבותיו </w:t>
      </w:r>
      <w:r>
        <w:rPr>
          <w:rFonts w:hint="cs"/>
          <w:rtl/>
        </w:rPr>
        <w:t xml:space="preserve">המיוחדות של הערעור, </w:t>
      </w:r>
      <w:r>
        <w:rPr>
          <w:rtl/>
        </w:rPr>
        <w:t>להשלכות המעשיות של ההרחקה על מהלך לימודיו, להתנסותו הקלינית, לעיכוב הצפוי בסיום לימודיו ולפגיעה האישית, המקצועית והכלכלית העלולה להיגרם לו.</w:t>
      </w:r>
      <w:r>
        <w:rPr>
          <w:rFonts w:hint="cs"/>
          <w:rtl/>
        </w:rPr>
        <w:t xml:space="preserve"> בנוסף ב"כ המערער השיב בצורה רהוטה לסוגיות ולתהיות שהופנו אליו על ידי בית הדין.</w:t>
      </w:r>
    </w:p>
    <w:p w14:paraId="55BF91C2" w14:textId="77777777" w:rsidR="00CA61D9" w:rsidRDefault="00CA61D9" w:rsidP="00CA61D9">
      <w:pPr>
        <w:pStyle w:val="Ruller4"/>
        <w:rPr>
          <w:rtl/>
        </w:rPr>
      </w:pPr>
      <w:r>
        <w:rPr>
          <w:rFonts w:hint="cs"/>
          <w:rtl/>
        </w:rPr>
        <w:t xml:space="preserve"> </w:t>
      </w:r>
      <w:r>
        <w:rPr>
          <w:rtl/>
        </w:rPr>
        <w:tab/>
        <w:t xml:space="preserve">עוד טען </w:t>
      </w:r>
      <w:r>
        <w:rPr>
          <w:rFonts w:hint="cs"/>
          <w:rtl/>
        </w:rPr>
        <w:t xml:space="preserve">ובטעם רב ב"כ </w:t>
      </w:r>
      <w:r>
        <w:rPr>
          <w:rtl/>
        </w:rPr>
        <w:t>המערער, בין היתר, כי יש ליתן משקל ל</w:t>
      </w:r>
      <w:r>
        <w:rPr>
          <w:rFonts w:hint="cs"/>
          <w:rtl/>
        </w:rPr>
        <w:t>כך שהמערער</w:t>
      </w:r>
      <w:r>
        <w:rPr>
          <w:rtl/>
        </w:rPr>
        <w:t xml:space="preserve"> נעדר עבר משמעתי, לכך שמדובר במעידה אחת ולכך שבסופו של יום התנצל על מעשיו. כן הופנינו לפסקי דין שונים שלטענת בא כוח המערער מלמדים על רף ענישה מתון יותר במקרים דומים.</w:t>
      </w:r>
      <w:r>
        <w:rPr>
          <w:rFonts w:hint="cs"/>
          <w:rtl/>
        </w:rPr>
        <w:t xml:space="preserve"> ב"כ המערער הציג בפנינו את רף הענישה אשר לגישתו יש להחיל על מקרה זה, ובפרט לאור קביעותיו של מותב זה במקרים אחרים. </w:t>
      </w:r>
    </w:p>
    <w:p w14:paraId="3147A934" w14:textId="77777777" w:rsidR="00CA61D9" w:rsidRDefault="00CA61D9" w:rsidP="00CA61D9">
      <w:pPr>
        <w:pStyle w:val="Ruller4"/>
        <w:rPr>
          <w:rtl/>
        </w:rPr>
      </w:pPr>
      <w:r>
        <w:rPr>
          <w:rFonts w:hint="cs"/>
          <w:rtl/>
        </w:rPr>
        <w:t xml:space="preserve"> </w:t>
      </w:r>
      <w:r>
        <w:rPr>
          <w:rtl/>
        </w:rPr>
        <w:tab/>
        <w:t xml:space="preserve">מנגד, </w:t>
      </w:r>
      <w:r>
        <w:rPr>
          <w:rFonts w:hint="cs"/>
          <w:rtl/>
        </w:rPr>
        <w:t>ה</w:t>
      </w:r>
      <w:r>
        <w:rPr>
          <w:rtl/>
        </w:rPr>
        <w:t xml:space="preserve">קובלת </w:t>
      </w:r>
      <w:r>
        <w:rPr>
          <w:rFonts w:hint="cs"/>
          <w:rtl/>
        </w:rPr>
        <w:t xml:space="preserve">ביקשה </w:t>
      </w:r>
      <w:r>
        <w:rPr>
          <w:rtl/>
        </w:rPr>
        <w:t>לדחות את הערעור. נטען כי מדובר במעשה הונאה חמור בבחינה; כי המערער הכחיש את המעשה לאורך ההליך</w:t>
      </w:r>
      <w:r>
        <w:rPr>
          <w:rFonts w:hint="cs"/>
          <w:rtl/>
        </w:rPr>
        <w:t>,</w:t>
      </w:r>
      <w:r>
        <w:rPr>
          <w:rtl/>
        </w:rPr>
        <w:t xml:space="preserve"> ורק לאחר שהובאה בפניו מלוא חומרת התמונה הראייתית השמיע דברי התנצלות; כי ניסה להטיל דופי במתלוננת; וכי העונש שהושת עליו הולם את חומרת המעשה ואינו חורג ממדיניות הענישה המקובלת.</w:t>
      </w:r>
    </w:p>
    <w:p w14:paraId="2532EEAF" w14:textId="77777777" w:rsidR="00CA61D9" w:rsidRPr="00CC1363" w:rsidRDefault="00CA61D9" w:rsidP="00CA61D9">
      <w:pPr>
        <w:pStyle w:val="Ruller4"/>
        <w:rPr>
          <w:rtl/>
        </w:rPr>
      </w:pPr>
      <w:r>
        <w:rPr>
          <w:rFonts w:hint="cs"/>
          <w:rtl/>
        </w:rPr>
        <w:t xml:space="preserve"> </w:t>
      </w:r>
      <w:r>
        <w:rPr>
          <w:rtl/>
        </w:rPr>
        <w:tab/>
      </w:r>
      <w:r>
        <w:rPr>
          <w:rFonts w:hint="cs"/>
          <w:rtl/>
        </w:rPr>
        <w:t xml:space="preserve">כאמור, </w:t>
      </w:r>
      <w:r w:rsidRPr="00CC1363">
        <w:rPr>
          <w:rtl/>
        </w:rPr>
        <w:t xml:space="preserve">במסגרת הדיון שהתקיים בפנינו היום, </w:t>
      </w:r>
      <w:r>
        <w:rPr>
          <w:rFonts w:hint="cs"/>
          <w:rtl/>
        </w:rPr>
        <w:t xml:space="preserve">טענו </w:t>
      </w:r>
      <w:r w:rsidRPr="00CC1363">
        <w:rPr>
          <w:rtl/>
        </w:rPr>
        <w:t xml:space="preserve">הצדדים </w:t>
      </w:r>
      <w:r>
        <w:rPr>
          <w:rFonts w:hint="cs"/>
          <w:rtl/>
        </w:rPr>
        <w:t>באריכות ו</w:t>
      </w:r>
      <w:r w:rsidRPr="00CC1363">
        <w:rPr>
          <w:rtl/>
        </w:rPr>
        <w:t>ניתנה ל</w:t>
      </w:r>
      <w:r>
        <w:rPr>
          <w:rFonts w:hint="cs"/>
          <w:rtl/>
        </w:rPr>
        <w:t>כל ה</w:t>
      </w:r>
      <w:r w:rsidRPr="00CC1363">
        <w:rPr>
          <w:rtl/>
        </w:rPr>
        <w:t xml:space="preserve">צדדים </w:t>
      </w:r>
      <w:r>
        <w:rPr>
          <w:rFonts w:hint="cs"/>
          <w:rtl/>
        </w:rPr>
        <w:t xml:space="preserve">ולנציגיהם </w:t>
      </w:r>
      <w:r w:rsidRPr="00CC1363">
        <w:rPr>
          <w:rtl/>
        </w:rPr>
        <w:t>אפשרות מלאה להשמיע את טענותיהם, בית הדין בחן את מכלול החומר שהונח בפניו</w:t>
      </w:r>
      <w:r>
        <w:rPr>
          <w:rFonts w:hint="cs"/>
          <w:rtl/>
        </w:rPr>
        <w:t xml:space="preserve">, לרבות עיון בפסקי הדין שהונחו בפנינו לצורך בחינת רף הענישה הראוי. </w:t>
      </w:r>
    </w:p>
    <w:p w14:paraId="2DFB6B4B" w14:textId="77777777" w:rsidR="00CA61D9" w:rsidRPr="008B270F" w:rsidRDefault="00CA61D9" w:rsidP="00CA61D9">
      <w:pPr>
        <w:pStyle w:val="Ruller41"/>
        <w:rPr>
          <w:rtl/>
        </w:rPr>
      </w:pPr>
    </w:p>
    <w:p w14:paraId="214FED2C" w14:textId="77777777" w:rsidR="00CA61D9" w:rsidRPr="0088469E" w:rsidRDefault="00CA61D9" w:rsidP="00CA61D9">
      <w:pPr>
        <w:pStyle w:val="Ruller41"/>
        <w:rPr>
          <w:rFonts w:ascii="Century" w:hAnsi="Century" w:cs="Miriam"/>
          <w:bCs/>
          <w:spacing w:val="0"/>
          <w:szCs w:val="24"/>
          <w:rtl/>
        </w:rPr>
      </w:pPr>
      <w:r w:rsidRPr="0088469E">
        <w:rPr>
          <w:rFonts w:ascii="Century" w:hAnsi="Century" w:cs="Miriam"/>
          <w:bCs/>
          <w:spacing w:val="0"/>
          <w:szCs w:val="24"/>
          <w:rtl/>
        </w:rPr>
        <w:t>דיון והכרעה</w:t>
      </w:r>
    </w:p>
    <w:p w14:paraId="124A6B0F" w14:textId="77777777" w:rsidR="00CA61D9" w:rsidRDefault="00CA61D9" w:rsidP="00CA61D9">
      <w:pPr>
        <w:pStyle w:val="Ruller4"/>
        <w:rPr>
          <w:rtl/>
        </w:rPr>
      </w:pPr>
      <w:r w:rsidRPr="009B2EE5">
        <w:rPr>
          <w:rtl/>
        </w:rPr>
        <w:t>הערעור שלפנינו נסב על חומרת העונש בלבד. המערער אינו כופר בהרשעה ואינו תוקף</w:t>
      </w:r>
      <w:r>
        <w:rPr>
          <w:rFonts w:hint="cs"/>
          <w:rtl/>
        </w:rPr>
        <w:t>, להבנתנו,</w:t>
      </w:r>
      <w:r w:rsidRPr="009B2EE5">
        <w:rPr>
          <w:rtl/>
        </w:rPr>
        <w:t xml:space="preserve"> את הממצאים העובדתיים שנקבעו בפסק </w:t>
      </w:r>
      <w:r>
        <w:rPr>
          <w:rFonts w:hint="cs"/>
          <w:rtl/>
        </w:rPr>
        <w:t>ה</w:t>
      </w:r>
      <w:r w:rsidRPr="009B2EE5">
        <w:rPr>
          <w:rtl/>
        </w:rPr>
        <w:t>די</w:t>
      </w:r>
      <w:r>
        <w:rPr>
          <w:rFonts w:hint="cs"/>
          <w:rtl/>
        </w:rPr>
        <w:t xml:space="preserve">ן. </w:t>
      </w:r>
      <w:r>
        <w:rPr>
          <w:rtl/>
        </w:rPr>
        <w:t xml:space="preserve">לאחר שעיינו בפסק דינה של סגנית הממונה על המשמעת, בכתב הערעור, בתגובת הקובלת </w:t>
      </w:r>
      <w:r>
        <w:rPr>
          <w:rFonts w:hint="eastAsia"/>
          <w:rtl/>
        </w:rPr>
        <w:t>ובפסקי</w:t>
      </w:r>
      <w:r>
        <w:rPr>
          <w:rtl/>
        </w:rPr>
        <w:t xml:space="preserve"> הדין </w:t>
      </w:r>
      <w:r>
        <w:rPr>
          <w:rFonts w:hint="eastAsia"/>
          <w:rtl/>
        </w:rPr>
        <w:t>שאליהם</w:t>
      </w:r>
      <w:r>
        <w:rPr>
          <w:rtl/>
        </w:rPr>
        <w:t xml:space="preserve"> </w:t>
      </w:r>
      <w:r>
        <w:rPr>
          <w:rFonts w:hint="eastAsia"/>
          <w:rtl/>
        </w:rPr>
        <w:t>הפנו</w:t>
      </w:r>
      <w:r>
        <w:rPr>
          <w:rtl/>
        </w:rPr>
        <w:t xml:space="preserve"> </w:t>
      </w:r>
      <w:r>
        <w:rPr>
          <w:rFonts w:hint="eastAsia"/>
          <w:rtl/>
        </w:rPr>
        <w:t>באי</w:t>
      </w:r>
      <w:r>
        <w:rPr>
          <w:rtl/>
        </w:rPr>
        <w:t xml:space="preserve"> כוח המערער</w:t>
      </w:r>
      <w:r>
        <w:rPr>
          <w:rFonts w:hint="cs"/>
          <w:rtl/>
        </w:rPr>
        <w:t xml:space="preserve"> והקובלת</w:t>
      </w:r>
      <w:r>
        <w:rPr>
          <w:rtl/>
        </w:rPr>
        <w:t>, ולאחר ששמענו בקשב רב ובאוזן קשובה את טענות הצדדים בדיון, באנו לכלל מסקנה, ברוב דעות של 2:1, כי דין הערעור להידחות.</w:t>
      </w:r>
    </w:p>
    <w:p w14:paraId="4BF9C928" w14:textId="77777777" w:rsidR="00CA61D9" w:rsidRDefault="00CA61D9" w:rsidP="00CA61D9">
      <w:pPr>
        <w:pStyle w:val="Ruller4"/>
        <w:rPr>
          <w:rtl/>
        </w:rPr>
      </w:pPr>
      <w:r>
        <w:rPr>
          <w:rtl/>
        </w:rPr>
        <w:lastRenderedPageBreak/>
        <w:t>אין חולק כי הערעור שלפנינו מופנה כלפי חומרת העונש בלבד. המערער אינו תוקף בפנינו את עצם ההרשעה, וממילא אין ענייננו בבחינה מחודשת של קביעות המהימנות ו</w:t>
      </w:r>
      <w:r>
        <w:rPr>
          <w:rFonts w:hint="eastAsia"/>
          <w:rtl/>
        </w:rPr>
        <w:t>של</w:t>
      </w:r>
      <w:r>
        <w:rPr>
          <w:rtl/>
        </w:rPr>
        <w:t xml:space="preserve"> הממצאים העובדתיים שנקבעו בערכאה הדיונית.</w:t>
      </w:r>
    </w:p>
    <w:p w14:paraId="48A6F1E7" w14:textId="77777777" w:rsidR="00CA61D9" w:rsidRDefault="00CA61D9" w:rsidP="00CA61D9">
      <w:pPr>
        <w:pStyle w:val="Ruller4"/>
        <w:rPr>
          <w:rtl/>
        </w:rPr>
      </w:pPr>
      <w:r>
        <w:rPr>
          <w:rtl/>
        </w:rPr>
        <w:t>כידוע, ערכאת הערעור אינה מתערבת בנקל בגזר די</w:t>
      </w:r>
      <w:r>
        <w:rPr>
          <w:rFonts w:hint="eastAsia"/>
          <w:rtl/>
        </w:rPr>
        <w:t>נה</w:t>
      </w:r>
      <w:r>
        <w:rPr>
          <w:rtl/>
        </w:rPr>
        <w:t xml:space="preserve"> של הערכאה הדיונית, אלא במקרים חריגים בלבד, </w:t>
      </w:r>
      <w:r>
        <w:rPr>
          <w:rFonts w:hint="eastAsia"/>
          <w:rtl/>
        </w:rPr>
        <w:t>ש</w:t>
      </w:r>
      <w:r>
        <w:rPr>
          <w:rtl/>
        </w:rPr>
        <w:t xml:space="preserve">בהם נפלה טעות מהותית או כאשר העונש חורג באופן קיצוני ממתחם הענישה הסביר. </w:t>
      </w:r>
      <w:r>
        <w:rPr>
          <w:rFonts w:hint="cs"/>
          <w:rtl/>
        </w:rPr>
        <w:t>חרף טיעוניו המשכנעים של ב</w:t>
      </w:r>
      <w:r>
        <w:rPr>
          <w:rFonts w:hint="eastAsia"/>
          <w:rtl/>
        </w:rPr>
        <w:t>א</w:t>
      </w:r>
      <w:r>
        <w:rPr>
          <w:rtl/>
        </w:rPr>
        <w:t xml:space="preserve"> </w:t>
      </w:r>
      <w:r>
        <w:rPr>
          <w:rFonts w:hint="eastAsia"/>
          <w:rtl/>
        </w:rPr>
        <w:t>כוח</w:t>
      </w:r>
      <w:r>
        <w:rPr>
          <w:rFonts w:hint="cs"/>
          <w:rtl/>
        </w:rPr>
        <w:t xml:space="preserve"> המערער, </w:t>
      </w:r>
      <w:r>
        <w:rPr>
          <w:rtl/>
        </w:rPr>
        <w:t>לא שוכנענו כי המקרה שלפנינו נמנה עם אותם מקרים חריגים.</w:t>
      </w:r>
      <w:r>
        <w:rPr>
          <w:rFonts w:hint="cs"/>
          <w:rtl/>
        </w:rPr>
        <w:t xml:space="preserve"> נפרט. </w:t>
      </w:r>
    </w:p>
    <w:p w14:paraId="479AF3C0" w14:textId="77777777" w:rsidR="00CA61D9" w:rsidRPr="00FE5578" w:rsidRDefault="00CA61D9" w:rsidP="00CA61D9">
      <w:pPr>
        <w:pStyle w:val="Ruller41"/>
        <w:rPr>
          <w:rtl/>
        </w:rPr>
      </w:pPr>
    </w:p>
    <w:p w14:paraId="1E85D582" w14:textId="77777777" w:rsidR="00CA61D9" w:rsidRDefault="00CA61D9" w:rsidP="00CA61D9">
      <w:pPr>
        <w:pStyle w:val="Ruller4"/>
        <w:numPr>
          <w:ilvl w:val="0"/>
          <w:numId w:val="3"/>
        </w:numPr>
        <w:rPr>
          <w:rtl/>
        </w:rPr>
      </w:pPr>
      <w:r>
        <w:rPr>
          <w:rtl/>
        </w:rPr>
        <w:t>חומרת המעשה ונסיבותיו</w:t>
      </w:r>
      <w:r>
        <w:rPr>
          <w:rFonts w:hint="cs"/>
          <w:rtl/>
        </w:rPr>
        <w:t>:</w:t>
      </w:r>
    </w:p>
    <w:p w14:paraId="0F5C9E04" w14:textId="77777777" w:rsidR="00CA61D9" w:rsidRDefault="00CA61D9" w:rsidP="00CA61D9">
      <w:pPr>
        <w:pStyle w:val="Ruller4"/>
        <w:rPr>
          <w:rtl/>
        </w:rPr>
      </w:pPr>
      <w:r>
        <w:rPr>
          <w:rtl/>
        </w:rPr>
        <w:t>ענייננו בעבירת משמעת חמורה של שימוש בטלפון נייד במהלך בחינה. אין מדובר בהחזקה פסיבית בלבד או בטעות רגעית ש</w:t>
      </w:r>
      <w:r>
        <w:rPr>
          <w:rFonts w:hint="eastAsia"/>
          <w:rtl/>
        </w:rPr>
        <w:t>הת</w:t>
      </w:r>
      <w:r>
        <w:rPr>
          <w:rtl/>
        </w:rPr>
        <w:t>גלתה מיד לנבחן ותוקנה לאלתר, אלא בשימוש בטלפון במשך דקות ארוכות, תוך הסתרתו מאחורי מסך המחשב ובאופן שנועד, על פי הממצאים שנקבעו, לחמוק מעיני המשגיחים.</w:t>
      </w:r>
    </w:p>
    <w:p w14:paraId="6F26C55C" w14:textId="77777777" w:rsidR="00CA61D9" w:rsidRDefault="00CA61D9" w:rsidP="00CA61D9">
      <w:pPr>
        <w:pStyle w:val="Ruller4"/>
        <w:rPr>
          <w:rtl/>
        </w:rPr>
      </w:pPr>
      <w:r>
        <w:rPr>
          <w:rtl/>
        </w:rPr>
        <w:t>חומרה מיוחדת טמונה גם בכך שאלמלא התלונה שהוגשה לאחר הבחינה, ואלמלא בדיקת מצלמות האבטחה ש</w:t>
      </w:r>
      <w:r>
        <w:rPr>
          <w:rFonts w:hint="eastAsia"/>
          <w:rtl/>
        </w:rPr>
        <w:t>נערכ</w:t>
      </w:r>
      <w:r>
        <w:rPr>
          <w:rtl/>
        </w:rPr>
        <w:t>ה בעקבותיה, יש להניח כי המעשה כלל לא היה מתגלה, וממילא לא היה מגיע לפתחו של הליך משמעתי. אין מדובר אפוא במי ש</w:t>
      </w:r>
      <w:r>
        <w:rPr>
          <w:rFonts w:hint="cs"/>
          <w:rtl/>
        </w:rPr>
        <w:t>"</w:t>
      </w:r>
      <w:r>
        <w:rPr>
          <w:rtl/>
        </w:rPr>
        <w:t>נעצר</w:t>
      </w:r>
      <w:r>
        <w:rPr>
          <w:rFonts w:hint="cs"/>
          <w:rtl/>
        </w:rPr>
        <w:t>"</w:t>
      </w:r>
      <w:r>
        <w:rPr>
          <w:rtl/>
        </w:rPr>
        <w:t xml:space="preserve"> בזמן אמת, הודה ביוזמתו או חדל ממעשיו לנוכח הערה מיידית, אלא במעשה שהתגלה בדיעבד הודות לערנותה של סטודנטית אחרת ולבדיקה נוספת ש</w:t>
      </w:r>
      <w:r>
        <w:rPr>
          <w:rFonts w:hint="eastAsia"/>
          <w:rtl/>
        </w:rPr>
        <w:t>ערכו</w:t>
      </w:r>
      <w:r>
        <w:rPr>
          <w:rtl/>
        </w:rPr>
        <w:t xml:space="preserve"> גורמי המכללה.</w:t>
      </w:r>
    </w:p>
    <w:p w14:paraId="3D6E4652" w14:textId="77777777" w:rsidR="00CA61D9" w:rsidRDefault="00CA61D9" w:rsidP="00CA61D9">
      <w:pPr>
        <w:pStyle w:val="Ruller4"/>
        <w:rPr>
          <w:rtl/>
        </w:rPr>
      </w:pPr>
      <w:r>
        <w:rPr>
          <w:rtl/>
        </w:rPr>
        <w:t xml:space="preserve">לכך יש להוסיף את התנהלותו הדיונית של המערער. בפני הערכאה הדיונית הוא כפר במעשה, הכחיש כי היה ברשותו טלפון ואף ניסה לייחס למתלוננת מניע נקמני. משכך, בדין ראתה סגנית הממונה קושי ממשי להעניק משקל רב להתנצלות שהושמעה רק לאחר שנפרשה מלוא חומרת הראיות נגדו. </w:t>
      </w:r>
      <w:r>
        <w:rPr>
          <w:rFonts w:hint="cs"/>
          <w:rtl/>
        </w:rPr>
        <w:t xml:space="preserve">לגישתנו, </w:t>
      </w:r>
      <w:r>
        <w:rPr>
          <w:rtl/>
        </w:rPr>
        <w:t xml:space="preserve">חרטה </w:t>
      </w:r>
      <w:r>
        <w:rPr>
          <w:rFonts w:hint="eastAsia"/>
          <w:rtl/>
        </w:rPr>
        <w:t>ה</w:t>
      </w:r>
      <w:r>
        <w:rPr>
          <w:rtl/>
        </w:rPr>
        <w:t xml:space="preserve">מושמעת בשלב מאוחר, ורק לאחר שהראיות הפכו </w:t>
      </w:r>
      <w:r>
        <w:rPr>
          <w:rFonts w:hint="eastAsia"/>
          <w:rtl/>
        </w:rPr>
        <w:t>ל</w:t>
      </w:r>
      <w:r>
        <w:rPr>
          <w:rtl/>
        </w:rPr>
        <w:t>מכריעות וחד-משמעיות, אינה שקולה לנטילת אחריות מיידית וכנה</w:t>
      </w:r>
      <w:r>
        <w:rPr>
          <w:rFonts w:hint="cs"/>
          <w:rtl/>
        </w:rPr>
        <w:t>, ודבר זה עומד לרועץ אל מול המערער</w:t>
      </w:r>
      <w:r>
        <w:rPr>
          <w:rtl/>
        </w:rPr>
        <w:t>.</w:t>
      </w:r>
    </w:p>
    <w:p w14:paraId="4A8C80D8" w14:textId="77777777" w:rsidR="00CA61D9" w:rsidRDefault="00CA61D9" w:rsidP="00CA61D9">
      <w:pPr>
        <w:pStyle w:val="Ruller4"/>
        <w:numPr>
          <w:ilvl w:val="0"/>
          <w:numId w:val="0"/>
        </w:numPr>
      </w:pPr>
    </w:p>
    <w:p w14:paraId="0B37BC22" w14:textId="77777777" w:rsidR="00CA61D9" w:rsidRDefault="00CA61D9" w:rsidP="00CA61D9">
      <w:pPr>
        <w:pStyle w:val="Ruller4"/>
        <w:numPr>
          <w:ilvl w:val="0"/>
          <w:numId w:val="3"/>
        </w:numPr>
        <w:rPr>
          <w:rtl/>
        </w:rPr>
      </w:pPr>
      <w:r>
        <w:rPr>
          <w:rtl/>
        </w:rPr>
        <w:t>רף הענישה והפסיקה אליה הופנה בית הדין</w:t>
      </w:r>
    </w:p>
    <w:p w14:paraId="743919C6" w14:textId="77777777" w:rsidR="00CA61D9" w:rsidRDefault="00CA61D9" w:rsidP="00CA61D9">
      <w:pPr>
        <w:pStyle w:val="Ruller4"/>
        <w:rPr>
          <w:rtl/>
        </w:rPr>
      </w:pPr>
      <w:r>
        <w:rPr>
          <w:rtl/>
        </w:rPr>
        <w:t xml:space="preserve">בא כוח המערער הפנה אותנו לשורה של פסקי דין משמעתיים </w:t>
      </w:r>
      <w:proofErr w:type="spellStart"/>
      <w:r>
        <w:rPr>
          <w:rtl/>
        </w:rPr>
        <w:t>וערעוריים</w:t>
      </w:r>
      <w:proofErr w:type="spellEnd"/>
      <w:r>
        <w:rPr>
          <w:rtl/>
        </w:rPr>
        <w:t xml:space="preserve"> וביקש ללמוד מהם כי בעניינו של המערער הוחמר הדין </w:t>
      </w:r>
      <w:r>
        <w:rPr>
          <w:rFonts w:hint="eastAsia"/>
          <w:rtl/>
        </w:rPr>
        <w:t>במידה</w:t>
      </w:r>
      <w:r>
        <w:rPr>
          <w:rtl/>
        </w:rPr>
        <w:t xml:space="preserve"> </w:t>
      </w:r>
      <w:r>
        <w:rPr>
          <w:rFonts w:hint="eastAsia"/>
          <w:rtl/>
        </w:rPr>
        <w:t>יתר</w:t>
      </w:r>
      <w:r>
        <w:rPr>
          <w:rtl/>
        </w:rPr>
        <w:t xml:space="preserve">ה. עיינו בכל אותם פסקי דין, </w:t>
      </w:r>
      <w:r>
        <w:rPr>
          <w:rFonts w:hint="cs"/>
          <w:rtl/>
        </w:rPr>
        <w:t xml:space="preserve">וכן בפסקי הדין </w:t>
      </w:r>
      <w:r>
        <w:rPr>
          <w:rFonts w:hint="eastAsia"/>
          <w:rtl/>
        </w:rPr>
        <w:t>ש</w:t>
      </w:r>
      <w:r>
        <w:rPr>
          <w:rFonts w:hint="cs"/>
          <w:rtl/>
        </w:rPr>
        <w:t xml:space="preserve">אליהם התייחסה הקובלת, </w:t>
      </w:r>
      <w:r>
        <w:rPr>
          <w:rtl/>
        </w:rPr>
        <w:t xml:space="preserve">אולם </w:t>
      </w:r>
      <w:r>
        <w:rPr>
          <w:rFonts w:hint="cs"/>
          <w:rtl/>
        </w:rPr>
        <w:t>חרף טעמיו של ב</w:t>
      </w:r>
      <w:r>
        <w:rPr>
          <w:rFonts w:hint="eastAsia"/>
          <w:rtl/>
        </w:rPr>
        <w:t>א</w:t>
      </w:r>
      <w:r>
        <w:rPr>
          <w:rtl/>
        </w:rPr>
        <w:t xml:space="preserve"> </w:t>
      </w:r>
      <w:r>
        <w:rPr>
          <w:rFonts w:hint="eastAsia"/>
          <w:rtl/>
        </w:rPr>
        <w:t>כוח</w:t>
      </w:r>
      <w:r>
        <w:rPr>
          <w:rFonts w:hint="cs"/>
          <w:rtl/>
        </w:rPr>
        <w:t xml:space="preserve"> המערער, </w:t>
      </w:r>
      <w:r>
        <w:rPr>
          <w:rtl/>
        </w:rPr>
        <w:t>לא מצאנו כי יש בהם כדי להצדיק התערבות בעונש שנגזר כאן.</w:t>
      </w:r>
    </w:p>
    <w:p w14:paraId="4D9EAE53" w14:textId="77777777" w:rsidR="00CA61D9" w:rsidRDefault="00CA61D9" w:rsidP="00CA61D9">
      <w:pPr>
        <w:pStyle w:val="Ruller4"/>
        <w:rPr>
          <w:rtl/>
        </w:rPr>
      </w:pPr>
      <w:r>
        <w:rPr>
          <w:rtl/>
        </w:rPr>
        <w:t xml:space="preserve">ראשית, חלק מן המקרים </w:t>
      </w:r>
      <w:r>
        <w:rPr>
          <w:rFonts w:hint="eastAsia"/>
          <w:rtl/>
        </w:rPr>
        <w:t>ש</w:t>
      </w:r>
      <w:r>
        <w:rPr>
          <w:rtl/>
        </w:rPr>
        <w:t xml:space="preserve">אליהם הופנינו שונים, </w:t>
      </w:r>
      <w:r>
        <w:rPr>
          <w:rFonts w:hint="cs"/>
          <w:rtl/>
        </w:rPr>
        <w:t>לגישתנו</w:t>
      </w:r>
      <w:r>
        <w:rPr>
          <w:rtl/>
        </w:rPr>
        <w:t>,</w:t>
      </w:r>
      <w:r>
        <w:rPr>
          <w:rFonts w:hint="cs"/>
          <w:rtl/>
        </w:rPr>
        <w:t xml:space="preserve"> </w:t>
      </w:r>
      <w:r>
        <w:rPr>
          <w:rtl/>
        </w:rPr>
        <w:t xml:space="preserve">בעובדותיהם המהותיות. ישנם מקרים </w:t>
      </w:r>
      <w:r>
        <w:rPr>
          <w:rFonts w:hint="eastAsia"/>
          <w:rtl/>
        </w:rPr>
        <w:t>ש</w:t>
      </w:r>
      <w:r>
        <w:rPr>
          <w:rtl/>
        </w:rPr>
        <w:t xml:space="preserve">בהם הסטודנט הודה בהחזקת הטלפון או </w:t>
      </w:r>
      <w:r>
        <w:rPr>
          <w:rFonts w:hint="eastAsia"/>
          <w:rtl/>
        </w:rPr>
        <w:t>ה</w:t>
      </w:r>
      <w:r>
        <w:rPr>
          <w:rtl/>
        </w:rPr>
        <w:t xml:space="preserve">חומר האסור כבר בראשית ההליך, קיבל אחריות, הביע חרטה ברורה, ולא ניסה להטיל אשמה </w:t>
      </w:r>
      <w:r>
        <w:rPr>
          <w:rFonts w:hint="eastAsia"/>
          <w:rtl/>
        </w:rPr>
        <w:t>על</w:t>
      </w:r>
      <w:r>
        <w:rPr>
          <w:rtl/>
        </w:rPr>
        <w:t xml:space="preserve"> אחרים. </w:t>
      </w:r>
      <w:r>
        <w:rPr>
          <w:rtl/>
        </w:rPr>
        <w:lastRenderedPageBreak/>
        <w:t xml:space="preserve">ישנם גם מקרים </w:t>
      </w:r>
      <w:r>
        <w:rPr>
          <w:rFonts w:hint="eastAsia"/>
          <w:rtl/>
        </w:rPr>
        <w:t>ש</w:t>
      </w:r>
      <w:r>
        <w:rPr>
          <w:rtl/>
        </w:rPr>
        <w:t>בהם לא היו נסיבות מחמירות נוספות מעבר לעצם ההחזקה או השימוש.</w:t>
      </w:r>
    </w:p>
    <w:p w14:paraId="5B92877C" w14:textId="77777777" w:rsidR="00CA61D9" w:rsidRDefault="00CA61D9" w:rsidP="00CA61D9">
      <w:pPr>
        <w:pStyle w:val="Ruller4"/>
        <w:rPr>
          <w:rtl/>
        </w:rPr>
      </w:pPr>
      <w:r>
        <w:rPr>
          <w:rtl/>
        </w:rPr>
        <w:t xml:space="preserve">שנית, בחלק מן המקרים מדובר היה בתשתית עובדתית שונה, לרבות עבירות מסוג אחר, זיוף מסמכים, תרמית במתכונת </w:t>
      </w:r>
      <w:r>
        <w:rPr>
          <w:rFonts w:hint="eastAsia"/>
          <w:rtl/>
        </w:rPr>
        <w:t>של</w:t>
      </w:r>
      <w:r>
        <w:rPr>
          <w:rtl/>
        </w:rPr>
        <w:t xml:space="preserve"> בחינה מקוונת, או מקרים </w:t>
      </w:r>
      <w:r>
        <w:rPr>
          <w:rFonts w:hint="eastAsia"/>
          <w:rtl/>
        </w:rPr>
        <w:t>ש</w:t>
      </w:r>
      <w:r>
        <w:rPr>
          <w:rtl/>
        </w:rPr>
        <w:t xml:space="preserve">בהם נשקלו נסיבות אישיות חריגות </w:t>
      </w:r>
      <w:r>
        <w:rPr>
          <w:rFonts w:hint="eastAsia"/>
          <w:rtl/>
        </w:rPr>
        <w:t>ל</w:t>
      </w:r>
      <w:r>
        <w:rPr>
          <w:rtl/>
        </w:rPr>
        <w:t>צד הודאה ברורה ועמדה כנה של קבלת אחריות. מכאן, שאין בהשוואה אליהם כדי לסייע למערער שלפנינו.</w:t>
      </w:r>
    </w:p>
    <w:p w14:paraId="1F647804" w14:textId="77777777" w:rsidR="00CA61D9" w:rsidRDefault="00CA61D9" w:rsidP="00CA61D9">
      <w:pPr>
        <w:pStyle w:val="Ruller4"/>
        <w:rPr>
          <w:rtl/>
        </w:rPr>
      </w:pPr>
      <w:r>
        <w:rPr>
          <w:rtl/>
        </w:rPr>
        <w:t>שלישית, גם באותם מקרים שעניינם טלפון בבחינה, רף הענישה אינו אחיד באופן מכני, והוא מושפע ממכלול נסיבות המקרה: משך השימוש, אופן ההסתרה, שלב הגילוי, מידת התחכום, קיומן של ראיות חיצוניות, השאלה אם הסטודנט הודה או כפר, והאם ניסה להסיט א</w:t>
      </w:r>
      <w:r>
        <w:rPr>
          <w:rFonts w:hint="eastAsia"/>
          <w:rtl/>
        </w:rPr>
        <w:t>ת</w:t>
      </w:r>
      <w:r>
        <w:rPr>
          <w:rtl/>
        </w:rPr>
        <w:t xml:space="preserve"> </w:t>
      </w:r>
      <w:r>
        <w:rPr>
          <w:rFonts w:hint="eastAsia"/>
          <w:rtl/>
        </w:rPr>
        <w:t>הא</w:t>
      </w:r>
      <w:r>
        <w:rPr>
          <w:rtl/>
        </w:rPr>
        <w:t>שמה אל זולתו.</w:t>
      </w:r>
    </w:p>
    <w:p w14:paraId="6C5CEE5E" w14:textId="77777777" w:rsidR="00CA61D9" w:rsidRDefault="00CA61D9" w:rsidP="00CA61D9">
      <w:pPr>
        <w:pStyle w:val="Ruller4"/>
        <w:rPr>
          <w:rtl/>
        </w:rPr>
      </w:pPr>
      <w:r>
        <w:rPr>
          <w:rFonts w:hint="cs"/>
          <w:rtl/>
        </w:rPr>
        <w:t xml:space="preserve">אנו סבורים כי </w:t>
      </w:r>
      <w:r>
        <w:rPr>
          <w:rtl/>
        </w:rPr>
        <w:t xml:space="preserve">במקרה שלפנינו מתקיימות </w:t>
      </w:r>
      <w:r>
        <w:rPr>
          <w:rFonts w:hint="cs"/>
          <w:rtl/>
        </w:rPr>
        <w:t xml:space="preserve">דווקא </w:t>
      </w:r>
      <w:r>
        <w:rPr>
          <w:rtl/>
        </w:rPr>
        <w:t xml:space="preserve">כמה נסיבות מחמירות במצטבר: שימוש ממושך בטלפון במהלך </w:t>
      </w:r>
      <w:r>
        <w:rPr>
          <w:rFonts w:hint="eastAsia"/>
          <w:rtl/>
        </w:rPr>
        <w:t>ה</w:t>
      </w:r>
      <w:r>
        <w:rPr>
          <w:rtl/>
        </w:rPr>
        <w:t xml:space="preserve">בחינה, הסתרת המכשיר מפני המשגיחים, גילוי המעשה רק בדיעבד, </w:t>
      </w:r>
      <w:r>
        <w:rPr>
          <w:rFonts w:hint="eastAsia"/>
          <w:rtl/>
        </w:rPr>
        <w:t>בעקב</w:t>
      </w:r>
      <w:r>
        <w:rPr>
          <w:rtl/>
        </w:rPr>
        <w:t>ות תלונה ועדות חיצונית, אישוש נוסף באמצעות מצלמות האבטחה, הכחשה גורפת לאורך ההליך וניסיון להטיל דופי במתלוננת. נסיבות מצטברות אלה מבדילות את עניינו של המערער מ</w:t>
      </w:r>
      <w:r>
        <w:rPr>
          <w:rFonts w:hint="eastAsia"/>
          <w:rtl/>
        </w:rPr>
        <w:t>ן</w:t>
      </w:r>
      <w:r>
        <w:rPr>
          <w:rtl/>
        </w:rPr>
        <w:t xml:space="preserve"> המקרים המקלים יותר </w:t>
      </w:r>
      <w:r>
        <w:rPr>
          <w:rFonts w:hint="eastAsia"/>
          <w:rtl/>
        </w:rPr>
        <w:t>ש</w:t>
      </w:r>
      <w:r>
        <w:rPr>
          <w:rtl/>
        </w:rPr>
        <w:t>עליהם ביקש להסתמך.</w:t>
      </w:r>
    </w:p>
    <w:p w14:paraId="44317FD6" w14:textId="77777777" w:rsidR="00CA61D9" w:rsidRDefault="00CA61D9" w:rsidP="00CA61D9">
      <w:pPr>
        <w:pStyle w:val="Ruller4"/>
        <w:rPr>
          <w:rtl/>
        </w:rPr>
      </w:pPr>
      <w:r>
        <w:rPr>
          <w:rtl/>
        </w:rPr>
        <w:t>רביעית, אין בידינו לקבל את הטענה שלפיה עצם היעדר עבר משמעתי מצדיק,</w:t>
      </w:r>
      <w:r>
        <w:rPr>
          <w:rFonts w:hint="cs"/>
          <w:rtl/>
        </w:rPr>
        <w:t xml:space="preserve"> כשלעצמו</w:t>
      </w:r>
      <w:r>
        <w:rPr>
          <w:rtl/>
        </w:rPr>
        <w:t>, הקלה נוספת. אכן, ה</w:t>
      </w:r>
      <w:r>
        <w:rPr>
          <w:rFonts w:hint="eastAsia"/>
          <w:rtl/>
        </w:rPr>
        <w:t>י</w:t>
      </w:r>
      <w:r>
        <w:rPr>
          <w:rtl/>
        </w:rPr>
        <w:t xml:space="preserve">עדר עבר משמעתי הוא שיקול רלוונטי, ולעתים אף חשוב, אך אין בו </w:t>
      </w:r>
      <w:r>
        <w:rPr>
          <w:rFonts w:hint="cs"/>
          <w:rtl/>
        </w:rPr>
        <w:t xml:space="preserve">לבדו </w:t>
      </w:r>
      <w:r>
        <w:rPr>
          <w:rtl/>
        </w:rPr>
        <w:t>כדי לגבור על חומרת המעשה הקונקרטי ו</w:t>
      </w:r>
      <w:r>
        <w:rPr>
          <w:rFonts w:hint="eastAsia"/>
          <w:rtl/>
        </w:rPr>
        <w:t>על</w:t>
      </w:r>
      <w:r>
        <w:rPr>
          <w:rtl/>
        </w:rPr>
        <w:t xml:space="preserve"> נסיבותיו המחמירות. כך במיוחד שעה שמדובר בעבירת הונאה בבחינה, הפוגעת בלב הטוהר האקדמי.</w:t>
      </w:r>
    </w:p>
    <w:p w14:paraId="3A021FF7" w14:textId="77777777" w:rsidR="00CA61D9" w:rsidRDefault="00CA61D9" w:rsidP="00CA61D9">
      <w:pPr>
        <w:pStyle w:val="Ruller4"/>
        <w:rPr>
          <w:rtl/>
        </w:rPr>
      </w:pPr>
      <w:r>
        <w:rPr>
          <w:rtl/>
        </w:rPr>
        <w:t xml:space="preserve">לא למותר לציין כי בא כוח המערער הציג את טענותיו במקצועיות רבה, הפנה להלכות ולדוגמאות רלוונטיות, וניסה לשכנענו כי נכון יהיה לאמץ רף ענישה מתון יותר. ואולם, לאחר בחינה מדוקדקת של אותם פסקי דין, הגענו </w:t>
      </w:r>
      <w:r>
        <w:rPr>
          <w:rFonts w:hint="eastAsia"/>
          <w:rtl/>
        </w:rPr>
        <w:t>ל</w:t>
      </w:r>
      <w:r>
        <w:rPr>
          <w:rFonts w:hint="cs"/>
          <w:rtl/>
        </w:rPr>
        <w:t xml:space="preserve">כלל </w:t>
      </w:r>
      <w:r>
        <w:rPr>
          <w:rFonts w:hint="eastAsia"/>
          <w:rtl/>
        </w:rPr>
        <w:t>מסקנה</w:t>
      </w:r>
      <w:r>
        <w:rPr>
          <w:rtl/>
        </w:rPr>
        <w:t xml:space="preserve"> כי </w:t>
      </w:r>
      <w:r>
        <w:rPr>
          <w:rFonts w:hint="eastAsia"/>
          <w:rtl/>
        </w:rPr>
        <w:t>ניתן</w:t>
      </w:r>
      <w:r>
        <w:rPr>
          <w:rtl/>
        </w:rPr>
        <w:t xml:space="preserve"> </w:t>
      </w:r>
      <w:r>
        <w:rPr>
          <w:rFonts w:hint="eastAsia"/>
          <w:rtl/>
        </w:rPr>
        <w:t>לאבחן</w:t>
      </w:r>
      <w:r>
        <w:rPr>
          <w:rtl/>
        </w:rPr>
        <w:t xml:space="preserve"> </w:t>
      </w:r>
      <w:r>
        <w:rPr>
          <w:rFonts w:hint="eastAsia"/>
          <w:rtl/>
        </w:rPr>
        <w:t>אותם</w:t>
      </w:r>
      <w:r>
        <w:rPr>
          <w:rtl/>
        </w:rPr>
        <w:t xml:space="preserve"> </w:t>
      </w:r>
      <w:r>
        <w:rPr>
          <w:rFonts w:hint="eastAsia"/>
          <w:rtl/>
        </w:rPr>
        <w:t>באופן</w:t>
      </w:r>
      <w:r>
        <w:rPr>
          <w:rtl/>
        </w:rPr>
        <w:t xml:space="preserve"> מהותי ו</w:t>
      </w:r>
      <w:r>
        <w:rPr>
          <w:rFonts w:hint="eastAsia"/>
          <w:rtl/>
        </w:rPr>
        <w:t>כי</w:t>
      </w:r>
      <w:r>
        <w:rPr>
          <w:rtl/>
        </w:rPr>
        <w:t xml:space="preserve"> </w:t>
      </w:r>
      <w:r>
        <w:rPr>
          <w:rFonts w:hint="eastAsia"/>
          <w:rtl/>
        </w:rPr>
        <w:t>הם</w:t>
      </w:r>
      <w:r>
        <w:rPr>
          <w:rtl/>
        </w:rPr>
        <w:t xml:space="preserve"> אינם מבססים טענה לסטייה קיצונית ממדיניות הענישה בעניינו של המערער.</w:t>
      </w:r>
    </w:p>
    <w:p w14:paraId="7E911DCB" w14:textId="77777777" w:rsidR="00CA61D9" w:rsidRPr="001D76C0" w:rsidRDefault="00CA61D9" w:rsidP="00CA61D9">
      <w:pPr>
        <w:pStyle w:val="Ruller41"/>
      </w:pPr>
    </w:p>
    <w:p w14:paraId="2030F780" w14:textId="77777777" w:rsidR="00CA61D9" w:rsidRDefault="00CA61D9" w:rsidP="00CA61D9">
      <w:pPr>
        <w:pStyle w:val="Ruller4"/>
        <w:numPr>
          <w:ilvl w:val="0"/>
          <w:numId w:val="3"/>
        </w:numPr>
        <w:rPr>
          <w:rtl/>
        </w:rPr>
      </w:pPr>
      <w:r>
        <w:rPr>
          <w:rtl/>
        </w:rPr>
        <w:t>האיזון הראוי בעניינו של המערער</w:t>
      </w:r>
    </w:p>
    <w:p w14:paraId="11939BA1" w14:textId="77777777" w:rsidR="00CA61D9" w:rsidRDefault="00CA61D9" w:rsidP="00CA61D9">
      <w:pPr>
        <w:pStyle w:val="Ruller4"/>
        <w:rPr>
          <w:rtl/>
        </w:rPr>
      </w:pPr>
      <w:r>
        <w:rPr>
          <w:rFonts w:hint="cs"/>
          <w:rtl/>
        </w:rPr>
        <w:t xml:space="preserve">בבואנו להכריע בעניינו של המערער, </w:t>
      </w:r>
      <w:r>
        <w:rPr>
          <w:rtl/>
        </w:rPr>
        <w:t>לא התעלמנו מן הפגיעה המעשית שנגרמה ל</w:t>
      </w:r>
      <w:r>
        <w:rPr>
          <w:rFonts w:hint="eastAsia"/>
          <w:rtl/>
        </w:rPr>
        <w:t>ו</w:t>
      </w:r>
      <w:r>
        <w:rPr>
          <w:rtl/>
        </w:rPr>
        <w:t xml:space="preserve"> עקב ההרחקה לאלתר, מן העובדה שהעונש הוטל במהלך הסמסטר, ומן ההשלכות הנטענות על לימודיו, </w:t>
      </w:r>
      <w:r>
        <w:rPr>
          <w:rFonts w:hint="eastAsia"/>
          <w:rtl/>
        </w:rPr>
        <w:t>על</w:t>
      </w:r>
      <w:r>
        <w:rPr>
          <w:rtl/>
        </w:rPr>
        <w:t xml:space="preserve"> התנסויותיו, </w:t>
      </w:r>
      <w:r>
        <w:rPr>
          <w:rFonts w:hint="eastAsia"/>
          <w:rtl/>
        </w:rPr>
        <w:t>על</w:t>
      </w:r>
      <w:r>
        <w:rPr>
          <w:rtl/>
        </w:rPr>
        <w:t xml:space="preserve"> מצבו הכלכלי ו</w:t>
      </w:r>
      <w:r>
        <w:rPr>
          <w:rFonts w:hint="eastAsia"/>
          <w:rtl/>
        </w:rPr>
        <w:t>על</w:t>
      </w:r>
      <w:r>
        <w:rPr>
          <w:rtl/>
        </w:rPr>
        <w:t xml:space="preserve"> </w:t>
      </w:r>
      <w:r>
        <w:rPr>
          <w:rFonts w:hint="cs"/>
          <w:rtl/>
        </w:rPr>
        <w:t>תוכניותי</w:t>
      </w:r>
      <w:r>
        <w:rPr>
          <w:rFonts w:hint="eastAsia"/>
          <w:rtl/>
        </w:rPr>
        <w:t>ו</w:t>
      </w:r>
      <w:r>
        <w:rPr>
          <w:rtl/>
        </w:rPr>
        <w:t xml:space="preserve"> האישיות. כל אלה נשקלו על ידינו בכובד ראש.</w:t>
      </w:r>
    </w:p>
    <w:p w14:paraId="66C636D1" w14:textId="77777777" w:rsidR="00CA61D9" w:rsidRDefault="00CA61D9" w:rsidP="00CA61D9">
      <w:pPr>
        <w:pStyle w:val="Ruller4"/>
        <w:rPr>
          <w:rtl/>
        </w:rPr>
      </w:pPr>
      <w:r>
        <w:rPr>
          <w:rtl/>
        </w:rPr>
        <w:t xml:space="preserve">עם זאת, שיקולים אלה אינם מטים, </w:t>
      </w:r>
      <w:r>
        <w:rPr>
          <w:rFonts w:hint="cs"/>
          <w:rtl/>
        </w:rPr>
        <w:t>לגישתנו</w:t>
      </w:r>
      <w:r>
        <w:rPr>
          <w:rtl/>
        </w:rPr>
        <w:t>,</w:t>
      </w:r>
      <w:r>
        <w:rPr>
          <w:rFonts w:hint="cs"/>
          <w:rtl/>
        </w:rPr>
        <w:t xml:space="preserve"> </w:t>
      </w:r>
      <w:r>
        <w:rPr>
          <w:rtl/>
        </w:rPr>
        <w:t xml:space="preserve">את הכף </w:t>
      </w:r>
      <w:r>
        <w:rPr>
          <w:rFonts w:hint="eastAsia"/>
          <w:rtl/>
        </w:rPr>
        <w:t>כ</w:t>
      </w:r>
      <w:r>
        <w:rPr>
          <w:rFonts w:hint="cs"/>
          <w:rtl/>
        </w:rPr>
        <w:t xml:space="preserve">נדרש </w:t>
      </w:r>
      <w:r>
        <w:rPr>
          <w:rtl/>
        </w:rPr>
        <w:t xml:space="preserve">במקרה זה. טוהר הבחינות הוא אבן יסוד </w:t>
      </w:r>
      <w:r>
        <w:rPr>
          <w:rFonts w:hint="eastAsia"/>
          <w:rtl/>
        </w:rPr>
        <w:t>ב</w:t>
      </w:r>
      <w:r>
        <w:rPr>
          <w:rtl/>
        </w:rPr>
        <w:t xml:space="preserve">מוסד האקדמי. שימוש </w:t>
      </w:r>
      <w:r>
        <w:rPr>
          <w:rFonts w:hint="cs"/>
          <w:rtl/>
        </w:rPr>
        <w:t xml:space="preserve">כה בוטה </w:t>
      </w:r>
      <w:r>
        <w:rPr>
          <w:rtl/>
        </w:rPr>
        <w:t xml:space="preserve">בטלפון במהלך בחינה נועד להשיג יתרון אסור, פוגע בשוויון בין הנבחנים ושוחק את האמון שבבסיס ההערכה </w:t>
      </w:r>
      <w:r>
        <w:rPr>
          <w:rtl/>
        </w:rPr>
        <w:lastRenderedPageBreak/>
        <w:t>האקדמית. במקרים המתאימים, שיקולי הרתעה, שמירה על אחידות ועמידה נחושה על נורמות של יושר אקדמי מצדיקים גם ענישה ממשית, שיש לה השלכות לא פשוטות על הסטודנט המסוים.</w:t>
      </w:r>
    </w:p>
    <w:p w14:paraId="5D31ED21" w14:textId="77777777" w:rsidR="00CA61D9" w:rsidRDefault="00CA61D9" w:rsidP="00CA61D9">
      <w:pPr>
        <w:pStyle w:val="Ruller4"/>
        <w:rPr>
          <w:rtl/>
        </w:rPr>
      </w:pPr>
      <w:r>
        <w:rPr>
          <w:rtl/>
        </w:rPr>
        <w:t>משכך, לא מצאנו כי העונש שנגזר על המערער</w:t>
      </w:r>
      <w:r>
        <w:rPr>
          <w:rFonts w:hint="cs"/>
          <w:rtl/>
        </w:rPr>
        <w:t xml:space="preserve"> במקרה זה על נסיבותיו המיוחדות</w:t>
      </w:r>
      <w:r>
        <w:rPr>
          <w:rtl/>
        </w:rPr>
        <w:t xml:space="preserve"> חורג </w:t>
      </w:r>
      <w:r>
        <w:rPr>
          <w:rFonts w:hint="eastAsia"/>
          <w:rtl/>
        </w:rPr>
        <w:t>בחומרתו</w:t>
      </w:r>
      <w:r>
        <w:rPr>
          <w:rtl/>
        </w:rPr>
        <w:t xml:space="preserve"> במידה המצדיקה התערבות </w:t>
      </w:r>
      <w:proofErr w:type="spellStart"/>
      <w:r>
        <w:rPr>
          <w:rtl/>
        </w:rPr>
        <w:t>ערעורית</w:t>
      </w:r>
      <w:proofErr w:type="spellEnd"/>
      <w:r>
        <w:rPr>
          <w:rtl/>
        </w:rPr>
        <w:t xml:space="preserve">. להפך, </w:t>
      </w:r>
      <w:r>
        <w:rPr>
          <w:rFonts w:hint="cs"/>
          <w:rtl/>
        </w:rPr>
        <w:t xml:space="preserve">אנו סבורים כי </w:t>
      </w:r>
      <w:r>
        <w:rPr>
          <w:rtl/>
        </w:rPr>
        <w:t xml:space="preserve">מדובר בעונש המצוי בגדר הסביר, בשים לב לעבירות </w:t>
      </w:r>
      <w:r>
        <w:rPr>
          <w:rFonts w:hint="eastAsia"/>
          <w:rtl/>
        </w:rPr>
        <w:t>ש</w:t>
      </w:r>
      <w:r>
        <w:rPr>
          <w:rtl/>
        </w:rPr>
        <w:t>בהן הורשע ולנסיבות המחמירות שנקבעו.</w:t>
      </w:r>
    </w:p>
    <w:p w14:paraId="5F62F8D5" w14:textId="77777777" w:rsidR="00CA61D9" w:rsidRPr="000F511E" w:rsidRDefault="00CA61D9" w:rsidP="00CA61D9">
      <w:pPr>
        <w:pStyle w:val="Ruller41"/>
        <w:rPr>
          <w:rtl/>
        </w:rPr>
      </w:pPr>
    </w:p>
    <w:p w14:paraId="72F0E828" w14:textId="77777777" w:rsidR="00CA61D9" w:rsidRDefault="00CA61D9" w:rsidP="00CA61D9">
      <w:pPr>
        <w:pStyle w:val="Ruller4"/>
        <w:numPr>
          <w:ilvl w:val="0"/>
          <w:numId w:val="3"/>
        </w:numPr>
        <w:rPr>
          <w:rtl/>
        </w:rPr>
      </w:pPr>
      <w:r>
        <w:rPr>
          <w:rtl/>
        </w:rPr>
        <w:t>דעת המיעוט</w:t>
      </w:r>
    </w:p>
    <w:p w14:paraId="1F072C23" w14:textId="77777777" w:rsidR="00CA61D9" w:rsidRDefault="00CA61D9" w:rsidP="00CA61D9">
      <w:pPr>
        <w:pStyle w:val="Ruller4"/>
      </w:pPr>
      <w:r>
        <w:rPr>
          <w:rtl/>
        </w:rPr>
        <w:t xml:space="preserve">דעת המיעוט סברה כי יש מקום להקל במידת מה בעונש ההרחקה או במועד תחולתו, בשים לב להיעדר עבר משמעתי, לנסיבותיו האישיות של המערער, להשלכות המשמעותיות של ההרחקה על מסלול לימודיו, ולעובדה כי מדובר בעבירה ראשונה. </w:t>
      </w:r>
      <w:r>
        <w:rPr>
          <w:rFonts w:hint="eastAsia"/>
          <w:rtl/>
        </w:rPr>
        <w:t>ל</w:t>
      </w:r>
      <w:r>
        <w:rPr>
          <w:rFonts w:hint="cs"/>
          <w:rtl/>
        </w:rPr>
        <w:t>פי דעה זו</w:t>
      </w:r>
      <w:r>
        <w:rPr>
          <w:rtl/>
        </w:rPr>
        <w:t>,</w:t>
      </w:r>
      <w:r>
        <w:rPr>
          <w:rFonts w:hint="cs"/>
          <w:rtl/>
        </w:rPr>
        <w:t xml:space="preserve"> ניתן להסתפק בהרחקה מן הלימודים ל</w:t>
      </w:r>
      <w:r>
        <w:rPr>
          <w:rtl/>
        </w:rPr>
        <w:t>-</w:t>
      </w:r>
      <w:r>
        <w:rPr>
          <w:rFonts w:hint="cs"/>
          <w:rtl/>
        </w:rPr>
        <w:t>2 סמסטרים</w:t>
      </w:r>
      <w:r>
        <w:rPr>
          <w:rtl/>
        </w:rPr>
        <w:t xml:space="preserve">, </w:t>
      </w:r>
      <w:r>
        <w:rPr>
          <w:rFonts w:hint="eastAsia"/>
          <w:rtl/>
        </w:rPr>
        <w:t>חל</w:t>
      </w:r>
      <w:r>
        <w:rPr>
          <w:rFonts w:hint="cs"/>
          <w:rtl/>
        </w:rPr>
        <w:t>ף שנה</w:t>
      </w:r>
      <w:r>
        <w:rPr>
          <w:rtl/>
        </w:rPr>
        <w:t>,</w:t>
      </w:r>
      <w:r>
        <w:rPr>
          <w:rFonts w:hint="cs"/>
          <w:rtl/>
        </w:rPr>
        <w:t xml:space="preserve"> כפי שנקבע</w:t>
      </w:r>
      <w:r>
        <w:rPr>
          <w:rtl/>
        </w:rPr>
        <w:t>.</w:t>
      </w:r>
      <w:r>
        <w:rPr>
          <w:rFonts w:hint="cs"/>
          <w:rtl/>
        </w:rPr>
        <w:t xml:space="preserve"> </w:t>
      </w:r>
    </w:p>
    <w:p w14:paraId="7134F9E0" w14:textId="77777777" w:rsidR="00CA61D9" w:rsidRDefault="00CA61D9" w:rsidP="00CA61D9">
      <w:pPr>
        <w:pStyle w:val="Ruller4"/>
      </w:pPr>
      <w:r>
        <w:rPr>
          <w:rFonts w:hint="cs"/>
          <w:rtl/>
        </w:rPr>
        <w:t>כך או כך</w:t>
      </w:r>
      <w:r>
        <w:rPr>
          <w:rtl/>
        </w:rPr>
        <w:t>,</w:t>
      </w:r>
      <w:r>
        <w:rPr>
          <w:rFonts w:hint="cs"/>
          <w:rtl/>
        </w:rPr>
        <w:t xml:space="preserve"> גם התוצאה לפי דעת המיעוט כוללת בחובה הרחקה מלימודים מסמסטר ב</w:t>
      </w:r>
      <w:r>
        <w:rPr>
          <w:rtl/>
        </w:rPr>
        <w:t xml:space="preserve">' </w:t>
      </w:r>
      <w:r>
        <w:rPr>
          <w:rFonts w:hint="eastAsia"/>
          <w:rtl/>
        </w:rPr>
        <w:t>ומסמסטר</w:t>
      </w:r>
      <w:r>
        <w:rPr>
          <w:rtl/>
        </w:rPr>
        <w:t xml:space="preserve"> </w:t>
      </w:r>
      <w:r>
        <w:rPr>
          <w:rFonts w:hint="eastAsia"/>
          <w:rtl/>
        </w:rPr>
        <w:t>הקיץ</w:t>
      </w:r>
      <w:r>
        <w:rPr>
          <w:rtl/>
        </w:rPr>
        <w:t>,</w:t>
      </w:r>
      <w:r>
        <w:rPr>
          <w:rFonts w:hint="cs"/>
          <w:rtl/>
        </w:rPr>
        <w:t xml:space="preserve"> באופן </w:t>
      </w:r>
      <w:r>
        <w:rPr>
          <w:rFonts w:hint="eastAsia"/>
          <w:rtl/>
        </w:rPr>
        <w:t>ה</w:t>
      </w:r>
      <w:r>
        <w:rPr>
          <w:rFonts w:hint="cs"/>
          <w:rtl/>
        </w:rPr>
        <w:t>תואם את שנפסק בבקשה לעיכוב ביצוע</w:t>
      </w:r>
      <w:r>
        <w:rPr>
          <w:rtl/>
        </w:rPr>
        <w:t>.</w:t>
      </w:r>
    </w:p>
    <w:p w14:paraId="18630B4D" w14:textId="77777777" w:rsidR="00CA61D9" w:rsidRDefault="00CA61D9" w:rsidP="00CA61D9">
      <w:pPr>
        <w:pStyle w:val="Ruller4"/>
        <w:rPr>
          <w:rtl/>
        </w:rPr>
      </w:pPr>
      <w:r>
        <w:rPr>
          <w:rtl/>
        </w:rPr>
        <w:t>ואולם, כאמור, דעת הרוב לא מצאה כי שיקולים אלה מצדיקים התערבות בפסק הדין</w:t>
      </w:r>
      <w:r>
        <w:rPr>
          <w:rFonts w:hint="cs"/>
          <w:rtl/>
        </w:rPr>
        <w:t xml:space="preserve"> וכך אנו פוסקים</w:t>
      </w:r>
      <w:r>
        <w:rPr>
          <w:rtl/>
        </w:rPr>
        <w:t>.</w:t>
      </w:r>
    </w:p>
    <w:p w14:paraId="2AB54571" w14:textId="77777777" w:rsidR="00CA61D9" w:rsidRPr="009E3846" w:rsidRDefault="00CA61D9" w:rsidP="00CA61D9">
      <w:pPr>
        <w:pStyle w:val="Ruller41"/>
        <w:bidi w:val="0"/>
        <w:rPr>
          <w:rtl/>
        </w:rPr>
      </w:pPr>
    </w:p>
    <w:p w14:paraId="0735C9EF" w14:textId="77777777" w:rsidR="00CA61D9" w:rsidRPr="00D40FE3" w:rsidRDefault="00CA61D9" w:rsidP="00CA61D9">
      <w:pPr>
        <w:pStyle w:val="Ruller4"/>
        <w:keepNext/>
        <w:numPr>
          <w:ilvl w:val="0"/>
          <w:numId w:val="0"/>
        </w:numPr>
        <w:rPr>
          <w:rFonts w:ascii="Century" w:hAnsi="Century" w:cs="Miriam"/>
          <w:bCs/>
          <w:spacing w:val="0"/>
          <w:szCs w:val="24"/>
        </w:rPr>
      </w:pPr>
      <w:r w:rsidRPr="00716C3C">
        <w:rPr>
          <w:rFonts w:ascii="Century" w:hAnsi="Century" w:cs="Miriam"/>
          <w:bCs/>
          <w:spacing w:val="0"/>
          <w:szCs w:val="24"/>
          <w:rtl/>
        </w:rPr>
        <w:t>סוף דבר</w:t>
      </w:r>
    </w:p>
    <w:p w14:paraId="35908D0C" w14:textId="77777777" w:rsidR="00CA61D9" w:rsidRDefault="00CA61D9" w:rsidP="00CA61D9">
      <w:pPr>
        <w:pStyle w:val="Ruller4"/>
      </w:pPr>
      <w:r w:rsidRPr="009B2EE5">
        <w:rPr>
          <w:rtl/>
        </w:rPr>
        <w:t>על רקע דברים אל</w:t>
      </w:r>
      <w:r>
        <w:rPr>
          <w:rFonts w:hint="eastAsia"/>
          <w:rtl/>
        </w:rPr>
        <w:t>ה</w:t>
      </w:r>
      <w:r w:rsidRPr="009B2EE5">
        <w:rPr>
          <w:rtl/>
        </w:rPr>
        <w:t>, ומהטעמים המפורטים לעיל, הגענו למסקנה</w:t>
      </w:r>
      <w:r>
        <w:rPr>
          <w:rtl/>
        </w:rPr>
        <w:t>,</w:t>
      </w:r>
      <w:r>
        <w:rPr>
          <w:rFonts w:hint="cs"/>
          <w:rtl/>
        </w:rPr>
        <w:t xml:space="preserve"> ברוב קולות של 2:1</w:t>
      </w:r>
      <w:r>
        <w:rPr>
          <w:rtl/>
        </w:rPr>
        <w:t>,</w:t>
      </w:r>
      <w:r>
        <w:rPr>
          <w:rFonts w:hint="cs"/>
          <w:rtl/>
        </w:rPr>
        <w:t xml:space="preserve"> </w:t>
      </w:r>
      <w:r w:rsidRPr="009B2EE5">
        <w:rPr>
          <w:rtl/>
        </w:rPr>
        <w:t>כי אין להתערב בפסק דינ</w:t>
      </w:r>
      <w:r>
        <w:rPr>
          <w:rFonts w:hint="cs"/>
          <w:rtl/>
        </w:rPr>
        <w:t>ה</w:t>
      </w:r>
      <w:r w:rsidRPr="009B2EE5">
        <w:rPr>
          <w:rtl/>
        </w:rPr>
        <w:t xml:space="preserve"> של סגן הממונה על המשמעת, ו</w:t>
      </w:r>
      <w:r>
        <w:rPr>
          <w:rFonts w:hint="eastAsia"/>
          <w:rtl/>
        </w:rPr>
        <w:t>כי</w:t>
      </w:r>
      <w:r>
        <w:rPr>
          <w:rtl/>
        </w:rPr>
        <w:t xml:space="preserve"> </w:t>
      </w:r>
      <w:r>
        <w:rPr>
          <w:rFonts w:hint="eastAsia"/>
          <w:rtl/>
        </w:rPr>
        <w:t>יש</w:t>
      </w:r>
      <w:r>
        <w:rPr>
          <w:rtl/>
        </w:rPr>
        <w:t xml:space="preserve"> </w:t>
      </w:r>
      <w:r w:rsidRPr="009B2EE5">
        <w:rPr>
          <w:rtl/>
        </w:rPr>
        <w:t>להותיר על כנם את העונשים המפורטים בגזר הדין</w:t>
      </w:r>
      <w:r>
        <w:rPr>
          <w:rFonts w:hint="cs"/>
          <w:rtl/>
        </w:rPr>
        <w:t xml:space="preserve"> ולדחות את הערעור.</w:t>
      </w:r>
    </w:p>
    <w:p w14:paraId="057FDA2F" w14:textId="77777777" w:rsidR="00CA61D9" w:rsidRPr="006970DC" w:rsidRDefault="00CA61D9" w:rsidP="00CA61D9">
      <w:pPr>
        <w:pStyle w:val="Ruller4"/>
        <w:rPr>
          <w:rtl/>
        </w:rPr>
      </w:pPr>
      <w:r>
        <w:rPr>
          <w:rtl/>
        </w:rPr>
        <w:t>העונשים שהושתו על המערער בפסק הדין מיום 3.5.2026 יוותרו על כנם במלואם.</w:t>
      </w:r>
    </w:p>
    <w:p w14:paraId="14E1E1DE" w14:textId="77777777" w:rsidR="00CA61D9" w:rsidRPr="009E3846" w:rsidRDefault="00CA61D9" w:rsidP="00CA61D9">
      <w:pPr>
        <w:pStyle w:val="Ruller4"/>
      </w:pPr>
      <w:r w:rsidRPr="009E3846">
        <w:rPr>
          <w:rtl/>
        </w:rPr>
        <w:t>פסק הדין יפורסם ללא שם המערער וכל פרט מזהה אחר.</w:t>
      </w:r>
    </w:p>
    <w:p w14:paraId="38A2BC3E" w14:textId="77777777" w:rsidR="00CA61D9" w:rsidRPr="00716C3C" w:rsidRDefault="00CA61D9" w:rsidP="00CA61D9">
      <w:pPr>
        <w:spacing w:line="360" w:lineRule="auto"/>
        <w:ind w:firstLine="720"/>
        <w:jc w:val="both"/>
        <w:rPr>
          <w:rFonts w:ascii="Century" w:hAnsi="Century" w:cs="FrankRuehl"/>
          <w:spacing w:val="10"/>
          <w:sz w:val="22"/>
          <w:szCs w:val="28"/>
          <w:rtl/>
        </w:rPr>
      </w:pPr>
    </w:p>
    <w:p w14:paraId="561C7203" w14:textId="77777777" w:rsidR="00CA61D9" w:rsidRDefault="00CA61D9" w:rsidP="00CA61D9">
      <w:pPr>
        <w:spacing w:line="360" w:lineRule="auto"/>
        <w:ind w:firstLine="720"/>
        <w:jc w:val="both"/>
        <w:rPr>
          <w:rFonts w:ascii="Century" w:hAnsi="Century" w:cs="FrankRuehl"/>
          <w:spacing w:val="10"/>
          <w:sz w:val="22"/>
          <w:szCs w:val="28"/>
          <w:rtl/>
        </w:rPr>
      </w:pPr>
      <w:r>
        <w:rPr>
          <w:rFonts w:ascii="Century" w:hAnsi="Century" w:cs="FrankRuehl" w:hint="eastAsia"/>
          <w:spacing w:val="10"/>
          <w:sz w:val="22"/>
          <w:szCs w:val="28"/>
          <w:rtl/>
        </w:rPr>
        <w:t>ניתן</w:t>
      </w:r>
      <w:r>
        <w:rPr>
          <w:rFonts w:ascii="Century" w:hAnsi="Century" w:cs="FrankRuehl"/>
          <w:spacing w:val="10"/>
          <w:sz w:val="22"/>
          <w:szCs w:val="28"/>
          <w:rtl/>
        </w:rPr>
        <w:t xml:space="preserve"> </w:t>
      </w:r>
      <w:r>
        <w:rPr>
          <w:rFonts w:ascii="Century" w:hAnsi="Century" w:cs="FrankRuehl" w:hint="eastAsia"/>
          <w:spacing w:val="10"/>
          <w:sz w:val="22"/>
          <w:szCs w:val="28"/>
          <w:rtl/>
        </w:rPr>
        <w:t>היום</w:t>
      </w:r>
      <w:r>
        <w:rPr>
          <w:rFonts w:ascii="Century" w:hAnsi="Century" w:cs="FrankRuehl"/>
          <w:spacing w:val="10"/>
          <w:sz w:val="22"/>
          <w:szCs w:val="28"/>
          <w:rtl/>
        </w:rPr>
        <w:t xml:space="preserve">, </w:t>
      </w:r>
      <w:r>
        <w:rPr>
          <w:rFonts w:ascii="Century" w:hAnsi="Century" w:cs="FrankRuehl" w:hint="cs"/>
          <w:spacing w:val="10"/>
          <w:sz w:val="22"/>
          <w:szCs w:val="28"/>
          <w:rtl/>
        </w:rPr>
        <w:t xml:space="preserve">יד' בתמוז  </w:t>
      </w:r>
      <w:proofErr w:type="spellStart"/>
      <w:r w:rsidRPr="002005CB">
        <w:rPr>
          <w:rFonts w:ascii="Century" w:hAnsi="Century" w:cs="FrankRuehl" w:hint="eastAsia"/>
          <w:spacing w:val="10"/>
          <w:sz w:val="22"/>
          <w:szCs w:val="28"/>
          <w:rtl/>
        </w:rPr>
        <w:t>התשפ</w:t>
      </w:r>
      <w:r w:rsidRPr="002005CB">
        <w:rPr>
          <w:rFonts w:ascii="Century" w:hAnsi="Century" w:cs="FrankRuehl"/>
          <w:spacing w:val="10"/>
          <w:sz w:val="22"/>
          <w:szCs w:val="28"/>
          <w:rtl/>
        </w:rPr>
        <w:t>"</w:t>
      </w:r>
      <w:r w:rsidRPr="002005CB">
        <w:rPr>
          <w:rFonts w:ascii="Century" w:hAnsi="Century" w:cs="FrankRuehl" w:hint="cs"/>
          <w:spacing w:val="10"/>
          <w:sz w:val="22"/>
          <w:szCs w:val="28"/>
          <w:rtl/>
        </w:rPr>
        <w:t>ו</w:t>
      </w:r>
      <w:proofErr w:type="spellEnd"/>
      <w:r>
        <w:rPr>
          <w:rFonts w:ascii="Century" w:hAnsi="Century" w:cs="FrankRuehl"/>
          <w:spacing w:val="10"/>
          <w:sz w:val="22"/>
          <w:szCs w:val="28"/>
          <w:rtl/>
        </w:rPr>
        <w:t xml:space="preserve"> (</w:t>
      </w:r>
      <w:r>
        <w:rPr>
          <w:rFonts w:ascii="Century" w:hAnsi="Century" w:cs="FrankRuehl" w:hint="cs"/>
          <w:spacing w:val="10"/>
          <w:sz w:val="22"/>
          <w:szCs w:val="28"/>
          <w:rtl/>
        </w:rPr>
        <w:t>29.6.2026</w:t>
      </w:r>
      <w:r>
        <w:rPr>
          <w:rFonts w:ascii="Century" w:hAnsi="Century" w:cs="FrankRuehl"/>
          <w:spacing w:val="10"/>
          <w:sz w:val="22"/>
          <w:szCs w:val="28"/>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66"/>
      </w:tblGrid>
      <w:tr w:rsidR="00CA61D9" w14:paraId="5FBA6FA7" w14:textId="77777777" w:rsidTr="00726E24">
        <w:tc>
          <w:tcPr>
            <w:tcW w:w="2765" w:type="dxa"/>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49"/>
            </w:tblGrid>
            <w:tr w:rsidR="00CA61D9" w:rsidRPr="007363E6" w14:paraId="118D887E" w14:textId="77777777" w:rsidTr="00726E24">
              <w:trPr>
                <w:trHeight w:val="1247"/>
              </w:trPr>
              <w:tc>
                <w:tcPr>
                  <w:tcW w:w="2551" w:type="dxa"/>
                  <w:tcBorders>
                    <w:top w:val="nil"/>
                    <w:left w:val="nil"/>
                    <w:bottom w:val="single" w:sz="4" w:space="0" w:color="auto"/>
                    <w:right w:val="nil"/>
                  </w:tcBorders>
                  <w:vAlign w:val="center"/>
                </w:tcPr>
                <w:p w14:paraId="1C4EAE9D" w14:textId="77777777" w:rsidR="00CA61D9" w:rsidRPr="007363E6" w:rsidRDefault="00CA61D9" w:rsidP="00726E24">
                  <w:pPr>
                    <w:jc w:val="center"/>
                    <w:rPr>
                      <w:rFonts w:ascii="Courier New" w:hAnsi="Courier New"/>
                      <w:rtl/>
                    </w:rPr>
                  </w:pPr>
                </w:p>
              </w:tc>
            </w:tr>
            <w:tr w:rsidR="00CA61D9" w:rsidRPr="007363E6" w14:paraId="4001F499" w14:textId="77777777" w:rsidTr="00726E24">
              <w:trPr>
                <w:trHeight w:val="454"/>
              </w:trPr>
              <w:tc>
                <w:tcPr>
                  <w:tcW w:w="2551" w:type="dxa"/>
                  <w:tcBorders>
                    <w:top w:val="single" w:sz="4" w:space="0" w:color="auto"/>
                    <w:left w:val="nil"/>
                    <w:bottom w:val="nil"/>
                    <w:right w:val="nil"/>
                  </w:tcBorders>
                  <w:vAlign w:val="center"/>
                </w:tcPr>
                <w:p w14:paraId="7DB9F9E0" w14:textId="77777777" w:rsidR="00CA61D9" w:rsidRDefault="00CA61D9" w:rsidP="00726E24">
                  <w:pPr>
                    <w:pStyle w:val="Heading3"/>
                    <w:spacing w:line="240" w:lineRule="auto"/>
                    <w:jc w:val="center"/>
                    <w:outlineLvl w:val="2"/>
                    <w:rPr>
                      <w:rFonts w:cs="FrankRuehl"/>
                      <w:b w:val="0"/>
                      <w:bCs w:val="0"/>
                      <w:spacing w:val="10"/>
                      <w:sz w:val="28"/>
                      <w:szCs w:val="28"/>
                      <w:rtl/>
                    </w:rPr>
                  </w:pPr>
                  <w:r>
                    <w:rPr>
                      <w:rFonts w:cs="FrankRuehl" w:hint="cs"/>
                      <w:b w:val="0"/>
                      <w:bCs w:val="0"/>
                      <w:spacing w:val="10"/>
                      <w:sz w:val="28"/>
                      <w:szCs w:val="28"/>
                      <w:rtl/>
                    </w:rPr>
                    <w:t xml:space="preserve">מיכאל </w:t>
                  </w:r>
                  <w:proofErr w:type="spellStart"/>
                  <w:r>
                    <w:rPr>
                      <w:rFonts w:cs="FrankRuehl" w:hint="cs"/>
                      <w:b w:val="0"/>
                      <w:bCs w:val="0"/>
                      <w:spacing w:val="10"/>
                      <w:sz w:val="28"/>
                      <w:szCs w:val="28"/>
                      <w:rtl/>
                    </w:rPr>
                    <w:t>גינסבורג</w:t>
                  </w:r>
                  <w:proofErr w:type="spellEnd"/>
                  <w:r>
                    <w:rPr>
                      <w:rFonts w:cs="FrankRuehl" w:hint="cs"/>
                      <w:b w:val="0"/>
                      <w:bCs w:val="0"/>
                      <w:spacing w:val="10"/>
                      <w:sz w:val="28"/>
                      <w:szCs w:val="28"/>
                      <w:rtl/>
                    </w:rPr>
                    <w:t>, עו"ד</w:t>
                  </w:r>
                </w:p>
                <w:p w14:paraId="62B3F7BD" w14:textId="77777777" w:rsidR="00CA61D9" w:rsidRDefault="00CA61D9" w:rsidP="00726E24">
                  <w:pPr>
                    <w:pStyle w:val="Heading3"/>
                    <w:spacing w:line="240" w:lineRule="auto"/>
                    <w:jc w:val="center"/>
                    <w:outlineLvl w:val="2"/>
                    <w:rPr>
                      <w:rFonts w:cs="FrankRuehl"/>
                      <w:b w:val="0"/>
                      <w:bCs w:val="0"/>
                      <w:spacing w:val="10"/>
                      <w:sz w:val="28"/>
                      <w:szCs w:val="28"/>
                      <w:rtl/>
                    </w:rPr>
                  </w:pPr>
                  <w:r>
                    <w:rPr>
                      <w:rFonts w:cs="FrankRuehl" w:hint="cs"/>
                      <w:b w:val="0"/>
                      <w:bCs w:val="0"/>
                      <w:spacing w:val="10"/>
                      <w:sz w:val="28"/>
                      <w:szCs w:val="28"/>
                      <w:rtl/>
                    </w:rPr>
                    <w:t>שופט</w:t>
                  </w:r>
                </w:p>
                <w:p w14:paraId="2D34071F" w14:textId="77777777" w:rsidR="00CA61D9" w:rsidRPr="00305938" w:rsidRDefault="00CA61D9" w:rsidP="00726E24">
                  <w:pPr>
                    <w:pStyle w:val="Heading3"/>
                    <w:spacing w:line="240" w:lineRule="auto"/>
                    <w:jc w:val="center"/>
                    <w:outlineLvl w:val="2"/>
                    <w:rPr>
                      <w:rtl/>
                    </w:rPr>
                  </w:pPr>
                  <w:r>
                    <w:rPr>
                      <w:rFonts w:hint="cs"/>
                      <w:rtl/>
                    </w:rPr>
                    <w:t xml:space="preserve">  </w:t>
                  </w:r>
                  <w:r w:rsidRPr="00305938">
                    <w:rPr>
                      <w:rFonts w:cs="FrankRuehl" w:hint="cs"/>
                      <w:b w:val="0"/>
                      <w:bCs w:val="0"/>
                      <w:spacing w:val="10"/>
                      <w:sz w:val="28"/>
                      <w:szCs w:val="28"/>
                      <w:rtl/>
                    </w:rPr>
                    <w:t>נשיא בית הדין</w:t>
                  </w:r>
                </w:p>
              </w:tc>
            </w:tr>
          </w:tbl>
          <w:p w14:paraId="26115E3C" w14:textId="77777777" w:rsidR="00CA61D9" w:rsidRDefault="00CA61D9" w:rsidP="00726E24">
            <w:pPr>
              <w:jc w:val="center"/>
              <w:rPr>
                <w:rtl/>
              </w:rPr>
            </w:pPr>
          </w:p>
          <w:p w14:paraId="0358F6AC" w14:textId="77777777" w:rsidR="00CA61D9" w:rsidRDefault="00CA61D9" w:rsidP="00726E24">
            <w:pPr>
              <w:spacing w:line="360" w:lineRule="auto"/>
              <w:jc w:val="center"/>
              <w:rPr>
                <w:rFonts w:ascii="FrankRuehl" w:hAnsi="FrankRuehl" w:cs="FrankRuehl"/>
                <w:sz w:val="28"/>
                <w:szCs w:val="28"/>
                <w:rtl/>
              </w:rPr>
            </w:pPr>
          </w:p>
        </w:tc>
        <w:tc>
          <w:tcPr>
            <w:tcW w:w="2766" w:type="dxa"/>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0"/>
            </w:tblGrid>
            <w:tr w:rsidR="00CA61D9" w:rsidRPr="00AA0167" w14:paraId="05FD9107" w14:textId="77777777" w:rsidTr="00726E24">
              <w:trPr>
                <w:trHeight w:val="1247"/>
              </w:trPr>
              <w:tc>
                <w:tcPr>
                  <w:tcW w:w="2551" w:type="dxa"/>
                  <w:tcBorders>
                    <w:top w:val="nil"/>
                    <w:left w:val="nil"/>
                    <w:bottom w:val="single" w:sz="4" w:space="0" w:color="auto"/>
                    <w:right w:val="nil"/>
                  </w:tcBorders>
                  <w:vAlign w:val="center"/>
                </w:tcPr>
                <w:p w14:paraId="06FBD3EB" w14:textId="77777777" w:rsidR="00CA61D9" w:rsidRPr="00AA0167" w:rsidRDefault="00CA61D9" w:rsidP="00726E24">
                  <w:pPr>
                    <w:jc w:val="center"/>
                    <w:rPr>
                      <w:rFonts w:ascii="Courier New" w:hAnsi="Courier New"/>
                    </w:rPr>
                  </w:pPr>
                </w:p>
              </w:tc>
            </w:tr>
            <w:tr w:rsidR="00CA61D9" w:rsidRPr="00AA0167" w14:paraId="4BA62AC2" w14:textId="77777777" w:rsidTr="00726E24">
              <w:tc>
                <w:tcPr>
                  <w:tcW w:w="2551" w:type="dxa"/>
                  <w:tcBorders>
                    <w:top w:val="single" w:sz="4" w:space="0" w:color="auto"/>
                    <w:left w:val="nil"/>
                    <w:bottom w:val="nil"/>
                    <w:right w:val="nil"/>
                  </w:tcBorders>
                  <w:vAlign w:val="bottom"/>
                </w:tcPr>
                <w:p w14:paraId="6BB164ED" w14:textId="77777777" w:rsidR="00CA61D9" w:rsidRDefault="00CA61D9" w:rsidP="00726E24">
                  <w:pPr>
                    <w:jc w:val="center"/>
                    <w:rPr>
                      <w:rFonts w:ascii="FrankRuehl" w:hAnsi="FrankRuehl" w:cs="FrankRuehl"/>
                      <w:spacing w:val="10"/>
                      <w:sz w:val="28"/>
                      <w:szCs w:val="28"/>
                      <w:rtl/>
                    </w:rPr>
                  </w:pPr>
                  <w:r>
                    <w:rPr>
                      <w:rFonts w:ascii="FrankRuehl" w:hAnsi="FrankRuehl" w:cs="FrankRuehl" w:hint="cs"/>
                      <w:spacing w:val="10"/>
                      <w:sz w:val="28"/>
                      <w:szCs w:val="28"/>
                      <w:rtl/>
                    </w:rPr>
                    <w:t xml:space="preserve">ד"ר </w:t>
                  </w:r>
                  <w:proofErr w:type="spellStart"/>
                  <w:r>
                    <w:rPr>
                      <w:rFonts w:ascii="FrankRuehl" w:hAnsi="FrankRuehl" w:cs="FrankRuehl" w:hint="cs"/>
                      <w:spacing w:val="10"/>
                      <w:sz w:val="28"/>
                      <w:szCs w:val="28"/>
                      <w:rtl/>
                    </w:rPr>
                    <w:t>רומינה</w:t>
                  </w:r>
                  <w:proofErr w:type="spellEnd"/>
                  <w:r>
                    <w:rPr>
                      <w:rFonts w:ascii="FrankRuehl" w:hAnsi="FrankRuehl" w:cs="FrankRuehl" w:hint="cs"/>
                      <w:spacing w:val="10"/>
                      <w:sz w:val="28"/>
                      <w:szCs w:val="28"/>
                      <w:rtl/>
                    </w:rPr>
                    <w:t xml:space="preserve"> </w:t>
                  </w:r>
                  <w:proofErr w:type="spellStart"/>
                  <w:r>
                    <w:rPr>
                      <w:rFonts w:ascii="FrankRuehl" w:hAnsi="FrankRuehl" w:cs="FrankRuehl" w:hint="cs"/>
                      <w:spacing w:val="10"/>
                      <w:sz w:val="28"/>
                      <w:szCs w:val="28"/>
                      <w:rtl/>
                    </w:rPr>
                    <w:t>זיגדון</w:t>
                  </w:r>
                  <w:proofErr w:type="spellEnd"/>
                </w:p>
                <w:p w14:paraId="0F79B875" w14:textId="77777777" w:rsidR="00CA61D9" w:rsidRPr="00AA0167" w:rsidRDefault="00CA61D9" w:rsidP="00726E24">
                  <w:pPr>
                    <w:jc w:val="center"/>
                    <w:rPr>
                      <w:rFonts w:ascii="Courier New" w:hAnsi="Courier New"/>
                    </w:rPr>
                  </w:pPr>
                  <w:r w:rsidRPr="00AA0167">
                    <w:rPr>
                      <w:rFonts w:ascii="FrankRuehl" w:hAnsi="FrankRuehl" w:cs="FrankRuehl"/>
                      <w:spacing w:val="10"/>
                      <w:sz w:val="28"/>
                      <w:szCs w:val="28"/>
                      <w:rtl/>
                    </w:rPr>
                    <w:t>שופטת</w:t>
                  </w:r>
                </w:p>
              </w:tc>
            </w:tr>
          </w:tbl>
          <w:p w14:paraId="40C32E8A" w14:textId="77777777" w:rsidR="00CA61D9" w:rsidRPr="00AA0167" w:rsidRDefault="00CA61D9" w:rsidP="00726E24"/>
          <w:p w14:paraId="1ADD4AB6" w14:textId="77777777" w:rsidR="00CA61D9" w:rsidRDefault="00CA61D9" w:rsidP="00726E24">
            <w:pPr>
              <w:spacing w:line="360" w:lineRule="auto"/>
              <w:jc w:val="center"/>
              <w:rPr>
                <w:rFonts w:ascii="FrankRuehl" w:hAnsi="FrankRuehl" w:cs="FrankRuehl"/>
                <w:sz w:val="28"/>
                <w:szCs w:val="28"/>
                <w:rtl/>
              </w:rPr>
            </w:pPr>
          </w:p>
        </w:tc>
        <w:tc>
          <w:tcPr>
            <w:tcW w:w="2766" w:type="dxa"/>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0"/>
            </w:tblGrid>
            <w:tr w:rsidR="00CA61D9" w14:paraId="18D45BCB" w14:textId="77777777" w:rsidTr="00726E24">
              <w:trPr>
                <w:trHeight w:val="1247"/>
              </w:trPr>
              <w:tc>
                <w:tcPr>
                  <w:tcW w:w="2551" w:type="dxa"/>
                  <w:tcBorders>
                    <w:top w:val="nil"/>
                    <w:left w:val="nil"/>
                    <w:bottom w:val="single" w:sz="4" w:space="0" w:color="auto"/>
                    <w:right w:val="nil"/>
                  </w:tcBorders>
                  <w:vAlign w:val="center"/>
                </w:tcPr>
                <w:p w14:paraId="3687F525" w14:textId="77777777" w:rsidR="00CA61D9" w:rsidRPr="005D66AD" w:rsidRDefault="00CA61D9" w:rsidP="00726E24">
                  <w:pPr>
                    <w:jc w:val="center"/>
                    <w:rPr>
                      <w:rFonts w:ascii="Courier New" w:hAnsi="Courier New"/>
                      <w:rtl/>
                    </w:rPr>
                  </w:pPr>
                </w:p>
              </w:tc>
            </w:tr>
            <w:tr w:rsidR="00CA61D9" w14:paraId="21D79E9F" w14:textId="77777777" w:rsidTr="00726E24">
              <w:trPr>
                <w:trHeight w:val="454"/>
              </w:trPr>
              <w:tc>
                <w:tcPr>
                  <w:tcW w:w="2551" w:type="dxa"/>
                  <w:tcBorders>
                    <w:top w:val="single" w:sz="4" w:space="0" w:color="auto"/>
                    <w:left w:val="nil"/>
                    <w:bottom w:val="nil"/>
                    <w:right w:val="nil"/>
                  </w:tcBorders>
                  <w:vAlign w:val="center"/>
                </w:tcPr>
                <w:p w14:paraId="25D23BF0" w14:textId="77777777" w:rsidR="00CA61D9" w:rsidRPr="00AE4179" w:rsidRDefault="00CA61D9" w:rsidP="00726E24">
                  <w:pPr>
                    <w:pStyle w:val="Heading3"/>
                    <w:spacing w:line="240" w:lineRule="auto"/>
                    <w:jc w:val="center"/>
                    <w:outlineLvl w:val="2"/>
                    <w:rPr>
                      <w:rFonts w:cs="FrankRuehl"/>
                      <w:b w:val="0"/>
                      <w:bCs w:val="0"/>
                      <w:color w:val="000000" w:themeColor="text1"/>
                      <w:spacing w:val="10"/>
                      <w:sz w:val="28"/>
                      <w:szCs w:val="28"/>
                      <w:rtl/>
                    </w:rPr>
                  </w:pPr>
                  <w:r>
                    <w:rPr>
                      <w:rFonts w:cs="FrankRuehl" w:hint="cs"/>
                      <w:b w:val="0"/>
                      <w:bCs w:val="0"/>
                      <w:color w:val="000000" w:themeColor="text1"/>
                      <w:spacing w:val="10"/>
                      <w:sz w:val="28"/>
                      <w:szCs w:val="28"/>
                      <w:rtl/>
                    </w:rPr>
                    <w:t xml:space="preserve"> גב' קארין גביזון</w:t>
                  </w:r>
                </w:p>
                <w:p w14:paraId="0D521AB7" w14:textId="77777777" w:rsidR="00CA61D9" w:rsidRPr="005D66AD" w:rsidRDefault="00CA61D9" w:rsidP="00726E24">
                  <w:pPr>
                    <w:pStyle w:val="Heading3"/>
                    <w:spacing w:line="240" w:lineRule="auto"/>
                    <w:jc w:val="center"/>
                    <w:outlineLvl w:val="2"/>
                    <w:rPr>
                      <w:rFonts w:cs="FrankRuehl"/>
                      <w:b w:val="0"/>
                      <w:bCs w:val="0"/>
                      <w:spacing w:val="10"/>
                      <w:sz w:val="28"/>
                      <w:szCs w:val="28"/>
                      <w:rtl/>
                    </w:rPr>
                  </w:pPr>
                  <w:r w:rsidRPr="00AE4179">
                    <w:rPr>
                      <w:rFonts w:cs="FrankRuehl" w:hint="cs"/>
                      <w:b w:val="0"/>
                      <w:bCs w:val="0"/>
                      <w:color w:val="000000" w:themeColor="text1"/>
                      <w:spacing w:val="10"/>
                      <w:sz w:val="28"/>
                      <w:szCs w:val="28"/>
                      <w:rtl/>
                    </w:rPr>
                    <w:t>שופט</w:t>
                  </w:r>
                  <w:r>
                    <w:rPr>
                      <w:rFonts w:cs="FrankRuehl" w:hint="cs"/>
                      <w:b w:val="0"/>
                      <w:bCs w:val="0"/>
                      <w:color w:val="000000" w:themeColor="text1"/>
                      <w:spacing w:val="10"/>
                      <w:sz w:val="28"/>
                      <w:szCs w:val="28"/>
                      <w:rtl/>
                    </w:rPr>
                    <w:t>ת</w:t>
                  </w:r>
                </w:p>
              </w:tc>
            </w:tr>
          </w:tbl>
          <w:p w14:paraId="67ECFFD1" w14:textId="77777777" w:rsidR="00CA61D9" w:rsidRDefault="00CA61D9" w:rsidP="00726E24">
            <w:pPr>
              <w:jc w:val="center"/>
            </w:pPr>
          </w:p>
          <w:p w14:paraId="0A1EEEC3" w14:textId="77777777" w:rsidR="00CA61D9" w:rsidRDefault="00CA61D9" w:rsidP="00726E24">
            <w:pPr>
              <w:spacing w:line="360" w:lineRule="auto"/>
              <w:jc w:val="center"/>
              <w:rPr>
                <w:rFonts w:ascii="FrankRuehl" w:hAnsi="FrankRuehl" w:cs="FrankRuehl"/>
                <w:sz w:val="28"/>
                <w:szCs w:val="28"/>
                <w:rtl/>
              </w:rPr>
            </w:pPr>
          </w:p>
        </w:tc>
      </w:tr>
    </w:tbl>
    <w:p w14:paraId="0E5A3815" w14:textId="77777777" w:rsidR="00CA61D9" w:rsidRDefault="00CA61D9" w:rsidP="00CA61D9">
      <w:pPr>
        <w:tabs>
          <w:tab w:val="left" w:pos="2553"/>
        </w:tabs>
        <w:rPr>
          <w:rFonts w:ascii="FrankRuehl" w:hAnsi="FrankRuehl" w:cs="FrankRuehl"/>
          <w:sz w:val="28"/>
          <w:szCs w:val="28"/>
          <w:rtl/>
        </w:rPr>
      </w:pPr>
      <w:r w:rsidRPr="00105E0F">
        <w:rPr>
          <w:rFonts w:ascii="FrankRuehl" w:hAnsi="FrankRuehl" w:cs="FrankRuehl"/>
          <w:sz w:val="28"/>
          <w:szCs w:val="28"/>
          <w:rtl/>
        </w:rPr>
        <w:t xml:space="preserve">      </w:t>
      </w:r>
    </w:p>
    <w:p w14:paraId="5EB1275D" w14:textId="77777777" w:rsidR="00FA70C9" w:rsidRDefault="00FA70C9"/>
    <w:sectPr w:rsidR="00FA70C9" w:rsidSect="00616AE2">
      <w:headerReference w:type="even" r:id="rId7"/>
      <w:headerReference w:type="default" r:id="rId8"/>
      <w:footerReference w:type="even" r:id="rId9"/>
      <w:footerReference w:type="default" r:id="rId10"/>
      <w:headerReference w:type="first" r:id="rId11"/>
      <w:footerReference w:type="first" r:id="rId12"/>
      <w:pgSz w:w="11907" w:h="16840" w:code="9"/>
      <w:pgMar w:top="1440" w:right="1800" w:bottom="1440" w:left="1800" w:header="720" w:footer="51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961C3" w14:textId="77777777" w:rsidR="00E13EE8" w:rsidRDefault="00E13EE8">
      <w:r>
        <w:separator/>
      </w:r>
    </w:p>
  </w:endnote>
  <w:endnote w:type="continuationSeparator" w:id="0">
    <w:p w14:paraId="4AE6DB6F" w14:textId="77777777" w:rsidR="00E13EE8" w:rsidRDefault="00E1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Arial TUR">
    <w:altName w:val="Arial"/>
    <w:charset w:val="00"/>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0C31F" w14:textId="77777777" w:rsidR="0056531A" w:rsidRDefault="00E13E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C280" w14:textId="77777777" w:rsidR="0056531A" w:rsidRDefault="00E13E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0DC4" w14:textId="77777777" w:rsidR="0056531A" w:rsidRDefault="00E13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9C9CE" w14:textId="77777777" w:rsidR="00E13EE8" w:rsidRDefault="00E13EE8">
      <w:r>
        <w:separator/>
      </w:r>
    </w:p>
  </w:footnote>
  <w:footnote w:type="continuationSeparator" w:id="0">
    <w:p w14:paraId="570C2734" w14:textId="77777777" w:rsidR="00E13EE8" w:rsidRDefault="00E13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2C03" w14:textId="77777777" w:rsidR="0056531A" w:rsidRDefault="00E13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E981" w14:textId="77777777" w:rsidR="00616AE2" w:rsidRDefault="00E13EE8">
    <w:pPr>
      <w:pStyle w:val="Header"/>
      <w:jc w:val="center"/>
      <w:rPr>
        <w:rtl/>
        <w:cs/>
      </w:rPr>
    </w:pPr>
    <w:sdt>
      <w:sdtPr>
        <w:rPr>
          <w:rtl/>
        </w:rPr>
        <w:id w:val="-97652217"/>
        <w:docPartObj>
          <w:docPartGallery w:val="Page Numbers (Top of Page)"/>
          <w:docPartUnique/>
        </w:docPartObj>
      </w:sdtPr>
      <w:sdtEndPr>
        <w:rPr>
          <w:cs/>
        </w:rPr>
      </w:sdtEndPr>
      <w:sdtContent>
        <w:r w:rsidR="00AC3BA2">
          <w:fldChar w:fldCharType="begin"/>
        </w:r>
        <w:r w:rsidR="00AC3BA2">
          <w:rPr>
            <w:rtl/>
            <w:cs/>
          </w:rPr>
          <w:instrText>PAGE   \* MERGEFORMAT</w:instrText>
        </w:r>
        <w:r w:rsidR="00AC3BA2">
          <w:fldChar w:fldCharType="separate"/>
        </w:r>
        <w:r w:rsidR="00AC3BA2" w:rsidRPr="009E22FE">
          <w:rPr>
            <w:noProof/>
            <w:rtl/>
            <w:lang w:val="he-IL"/>
          </w:rPr>
          <w:t>44</w:t>
        </w:r>
        <w:r w:rsidR="00AC3BA2">
          <w:fldChar w:fldCharType="end"/>
        </w:r>
      </w:sdtContent>
    </w:sdt>
  </w:p>
  <w:p w14:paraId="1844FB6B" w14:textId="77777777" w:rsidR="00105E0F" w:rsidRDefault="00E13EE8">
    <w:pPr>
      <w:pStyle w:val="Header"/>
      <w:jc w:val="center"/>
      <w:rPr>
        <w:rFonts w:cs="FrankRuehl"/>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4737B" w14:textId="77777777" w:rsidR="00616AE2" w:rsidRDefault="00AC3BA2" w:rsidP="00F00558">
    <w:pPr>
      <w:pStyle w:val="Header"/>
      <w:jc w:val="center"/>
    </w:pPr>
    <w:r>
      <w:rPr>
        <w:rFonts w:hint="cs"/>
        <w:rtl/>
      </w:rPr>
      <w:t xml:space="preserve">                       </w:t>
    </w:r>
    <w:r w:rsidRPr="003D386A">
      <w:rPr>
        <w:noProof/>
        <w:rtl/>
      </w:rPr>
      <w:drawing>
        <wp:inline distT="0" distB="0" distL="0" distR="0" wp14:anchorId="4BF0CDB3" wp14:editId="70102843">
          <wp:extent cx="2273935" cy="1237615"/>
          <wp:effectExtent l="0" t="0" r="0" b="635"/>
          <wp:docPr id="89474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12376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Numbered_95421559-6dff-46e8-8b07-792994ac367c"/>
    <w:lvl w:ilvl="0">
      <w:start w:val="11"/>
      <w:numFmt w:val="decimal"/>
      <w:suff w:val="space"/>
      <w:lvlText w:val="%1."/>
      <w:lvlJc w:val="left"/>
      <w:pPr>
        <w:tabs>
          <w:tab w:val="num" w:pos="360"/>
        </w:tabs>
        <w:ind w:left="360" w:hanging="360"/>
      </w:pPr>
    </w:lvl>
    <w:lvl w:ilvl="1">
      <w:start w:val="1"/>
      <w:numFmt w:val="decimal"/>
      <w:suff w:val="space"/>
      <w:lvlText w:val="%1.%2."/>
      <w:lvlJc w:val="left"/>
      <w:pPr>
        <w:tabs>
          <w:tab w:val="num" w:pos="792"/>
        </w:tabs>
        <w:ind w:left="792" w:hanging="432"/>
      </w:pPr>
    </w:lvl>
    <w:lvl w:ilvl="2">
      <w:start w:val="1"/>
      <w:numFmt w:val="decimal"/>
      <w:suff w:val="space"/>
      <w:lvlText w:val="%1.%2.%3."/>
      <w:lvlJc w:val="left"/>
      <w:pPr>
        <w:tabs>
          <w:tab w:val="num" w:pos="1440"/>
        </w:tabs>
        <w:ind w:left="1224" w:hanging="504"/>
      </w:pPr>
    </w:lvl>
    <w:lvl w:ilvl="3">
      <w:start w:val="1"/>
      <w:numFmt w:val="decimal"/>
      <w:suff w:val="space"/>
      <w:lvlText w:val="%1.%2.%3.%4."/>
      <w:lvlJc w:val="left"/>
      <w:pPr>
        <w:tabs>
          <w:tab w:val="num" w:pos="1800"/>
        </w:tabs>
        <w:ind w:left="1728" w:hanging="648"/>
      </w:pPr>
    </w:lvl>
    <w:lvl w:ilvl="4">
      <w:start w:val="1"/>
      <w:numFmt w:val="decimal"/>
      <w:suff w:val="space"/>
      <w:lvlText w:val="%1.%2.%3.%4.%5."/>
      <w:lvlJc w:val="left"/>
      <w:pPr>
        <w:tabs>
          <w:tab w:val="num" w:pos="2520"/>
        </w:tabs>
        <w:ind w:left="2224" w:hanging="792"/>
      </w:pPr>
    </w:lvl>
    <w:lvl w:ilvl="5">
      <w:start w:val="1"/>
      <w:numFmt w:val="decimal"/>
      <w:suff w:val="space"/>
      <w:lvlText w:val="%1.%2.%3.%4.%5.%6."/>
      <w:lvlJc w:val="left"/>
      <w:pPr>
        <w:tabs>
          <w:tab w:val="num" w:pos="2880"/>
        </w:tabs>
        <w:ind w:left="2736" w:hanging="936"/>
      </w:pPr>
    </w:lvl>
    <w:lvl w:ilvl="6">
      <w:start w:val="1"/>
      <w:numFmt w:val="decimal"/>
      <w:suff w:val="space"/>
      <w:lvlText w:val="%1.%2.%3.%4.%5.%6.%7."/>
      <w:lvlJc w:val="left"/>
      <w:pPr>
        <w:tabs>
          <w:tab w:val="num" w:pos="3600"/>
        </w:tabs>
        <w:ind w:left="3240" w:hanging="1080"/>
      </w:pPr>
    </w:lvl>
    <w:lvl w:ilvl="7">
      <w:start w:val="1"/>
      <w:numFmt w:val="decimal"/>
      <w:suff w:val="space"/>
      <w:lvlText w:val="%1.%2.%3.%4.%5.%6.%7.%8."/>
      <w:lvlJc w:val="left"/>
      <w:pPr>
        <w:tabs>
          <w:tab w:val="num" w:pos="3960"/>
        </w:tabs>
        <w:ind w:left="3744" w:hanging="1224"/>
      </w:pPr>
    </w:lvl>
    <w:lvl w:ilvl="8">
      <w:start w:val="1"/>
      <w:numFmt w:val="decimal"/>
      <w:suff w:val="space"/>
      <w:lvlText w:val="%1.%2.%3.%4.%5.%6.%7.%8.%9."/>
      <w:lvlJc w:val="left"/>
      <w:pPr>
        <w:tabs>
          <w:tab w:val="num" w:pos="4680"/>
        </w:tabs>
        <w:ind w:left="4320" w:hanging="1440"/>
      </w:pPr>
    </w:lvl>
  </w:abstractNum>
  <w:abstractNum w:abstractNumId="1" w15:restartNumberingAfterBreak="0">
    <w:nsid w:val="08A6001B"/>
    <w:multiLevelType w:val="hybridMultilevel"/>
    <w:tmpl w:val="F56A6DF0"/>
    <w:lvl w:ilvl="0" w:tplc="0966E770">
      <w:start w:val="1"/>
      <w:numFmt w:val="decimal"/>
      <w:pStyle w:val="Ruller4"/>
      <w:lvlText w:val="%1."/>
      <w:lvlJc w:val="left"/>
      <w:pPr>
        <w:tabs>
          <w:tab w:val="num" w:pos="907"/>
        </w:tabs>
        <w:ind w:left="0" w:firstLine="0"/>
      </w:pPr>
      <w:rPr>
        <w:lang w:val="en-US" w:bidi="he-IL"/>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44F537D1"/>
    <w:multiLevelType w:val="hybridMultilevel"/>
    <w:tmpl w:val="542EE7E4"/>
    <w:lvl w:ilvl="0" w:tplc="DAD46FD2">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1D9"/>
    <w:rsid w:val="002B4275"/>
    <w:rsid w:val="009C455A"/>
    <w:rsid w:val="00AC3BA2"/>
    <w:rsid w:val="00BB2352"/>
    <w:rsid w:val="00CA61D9"/>
    <w:rsid w:val="00E13EE8"/>
    <w:rsid w:val="00FA70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F8392"/>
  <w15:chartTrackingRefBased/>
  <w15:docId w15:val="{55B9A472-77A0-463B-B7DC-E12C547F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1D9"/>
    <w:pPr>
      <w:spacing w:after="0" w:line="240" w:lineRule="auto"/>
    </w:pPr>
    <w:rPr>
      <w:rFonts w:ascii="Times New Roman" w:eastAsia="Times New Roman" w:hAnsi="Times New Roman" w:cs="David"/>
      <w:sz w:val="24"/>
      <w:szCs w:val="24"/>
    </w:rPr>
  </w:style>
  <w:style w:type="paragraph" w:styleId="Heading3">
    <w:name w:val="heading 3"/>
    <w:basedOn w:val="Normal"/>
    <w:next w:val="Normal"/>
    <w:link w:val="Heading3Char"/>
    <w:qFormat/>
    <w:rsid w:val="00CA61D9"/>
    <w:pPr>
      <w:keepNext/>
      <w:spacing w:line="360" w:lineRule="auto"/>
      <w:jc w:val="both"/>
      <w:outlineLvl w:val="2"/>
    </w:pPr>
    <w:rPr>
      <w:b/>
      <w:bCs/>
      <w:sz w:val="20"/>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A61D9"/>
    <w:rPr>
      <w:rFonts w:ascii="Times New Roman" w:eastAsia="Times New Roman" w:hAnsi="Times New Roman" w:cs="David"/>
      <w:b/>
      <w:bCs/>
      <w:sz w:val="20"/>
      <w:szCs w:val="24"/>
      <w:lang w:eastAsia="he-IL"/>
    </w:rPr>
  </w:style>
  <w:style w:type="paragraph" w:styleId="Header">
    <w:name w:val="header"/>
    <w:basedOn w:val="Normal"/>
    <w:link w:val="HeaderChar"/>
    <w:uiPriority w:val="99"/>
    <w:rsid w:val="00CA61D9"/>
    <w:pPr>
      <w:tabs>
        <w:tab w:val="center" w:pos="4153"/>
        <w:tab w:val="right" w:pos="8306"/>
      </w:tabs>
    </w:pPr>
  </w:style>
  <w:style w:type="character" w:customStyle="1" w:styleId="HeaderChar">
    <w:name w:val="Header Char"/>
    <w:basedOn w:val="DefaultParagraphFont"/>
    <w:link w:val="Header"/>
    <w:uiPriority w:val="99"/>
    <w:rsid w:val="00CA61D9"/>
    <w:rPr>
      <w:rFonts w:ascii="Times New Roman" w:eastAsia="Times New Roman" w:hAnsi="Times New Roman" w:cs="David"/>
      <w:sz w:val="24"/>
      <w:szCs w:val="24"/>
    </w:rPr>
  </w:style>
  <w:style w:type="paragraph" w:styleId="Footer">
    <w:name w:val="footer"/>
    <w:basedOn w:val="Normal"/>
    <w:link w:val="FooterChar"/>
    <w:uiPriority w:val="99"/>
    <w:rsid w:val="00CA61D9"/>
    <w:pPr>
      <w:tabs>
        <w:tab w:val="center" w:pos="4153"/>
        <w:tab w:val="right" w:pos="8306"/>
      </w:tabs>
    </w:pPr>
  </w:style>
  <w:style w:type="character" w:customStyle="1" w:styleId="FooterChar">
    <w:name w:val="Footer Char"/>
    <w:basedOn w:val="DefaultParagraphFont"/>
    <w:link w:val="Footer"/>
    <w:uiPriority w:val="99"/>
    <w:rsid w:val="00CA61D9"/>
    <w:rPr>
      <w:rFonts w:ascii="Times New Roman" w:eastAsia="Times New Roman" w:hAnsi="Times New Roman" w:cs="David"/>
      <w:sz w:val="24"/>
      <w:szCs w:val="24"/>
    </w:rPr>
  </w:style>
  <w:style w:type="table" w:styleId="TableGrid">
    <w:name w:val="Table Grid"/>
    <w:basedOn w:val="TableNormal"/>
    <w:rsid w:val="00CA61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ller40">
    <w:name w:val="Ruller4 תו"/>
    <w:link w:val="Ruller41"/>
    <w:locked/>
    <w:rsid w:val="00CA61D9"/>
    <w:rPr>
      <w:rFonts w:ascii="Arial TUR" w:hAnsi="Arial TUR" w:cs="FrankRuehl"/>
      <w:spacing w:val="10"/>
      <w:szCs w:val="28"/>
    </w:rPr>
  </w:style>
  <w:style w:type="paragraph" w:customStyle="1" w:styleId="Ruller41">
    <w:name w:val="Ruller4"/>
    <w:basedOn w:val="Normal"/>
    <w:link w:val="Ruller40"/>
    <w:rsid w:val="00CA61D9"/>
    <w:pPr>
      <w:tabs>
        <w:tab w:val="left" w:pos="800"/>
      </w:tabs>
      <w:overflowPunct w:val="0"/>
      <w:autoSpaceDE w:val="0"/>
      <w:autoSpaceDN w:val="0"/>
      <w:adjustRightInd w:val="0"/>
      <w:spacing w:line="360" w:lineRule="auto"/>
      <w:jc w:val="both"/>
    </w:pPr>
    <w:rPr>
      <w:rFonts w:ascii="Arial TUR" w:eastAsiaTheme="minorHAnsi" w:hAnsi="Arial TUR" w:cs="FrankRuehl"/>
      <w:spacing w:val="10"/>
      <w:sz w:val="22"/>
      <w:szCs w:val="28"/>
    </w:rPr>
  </w:style>
  <w:style w:type="paragraph" w:customStyle="1" w:styleId="Ruller4">
    <w:name w:val="Ruller 4 ממוספר"/>
    <w:basedOn w:val="Ruller41"/>
    <w:next w:val="Ruller41"/>
    <w:rsid w:val="00CA61D9"/>
    <w:pPr>
      <w:numPr>
        <w:numId w:val="1"/>
      </w:numPr>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1757</Words>
  <Characters>8788</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 Erel</dc:creator>
  <cp:keywords/>
  <dc:description/>
  <cp:lastModifiedBy>Ester Erel</cp:lastModifiedBy>
  <cp:revision>2</cp:revision>
  <dcterms:created xsi:type="dcterms:W3CDTF">2026-07-16T10:54:00Z</dcterms:created>
  <dcterms:modified xsi:type="dcterms:W3CDTF">2026-07-19T12:23:00Z</dcterms:modified>
</cp:coreProperties>
</file>